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m2623681d1_8k.htm"/>
      <w:bookmarkStart w:id="1" w:name="kstm262368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rPr>
      </w:pPr>
      <w:r>
        <w:rPr>
          <w:rFonts w:ascii="Times New Roman;Times;Serif" w:hAnsi="Times New Roman;Times;Serif"/>
          <w:b/>
          <w:sz w:val="28"/>
        </w:rPr>
        <w:t>UNITED STATES</w:t>
        <w:br/>
        <w:t>SECURITIES AND EXCHANGE COMMISSION</w:t>
      </w:r>
      <w:r>
        <w:rPr>
          <w:rFonts w:ascii="Times New Roman;Times;Serif" w:hAnsi="Times New Roman;Times;Serif"/>
          <w:b/>
        </w:rPr>
        <w:br/>
      </w:r>
      <w:r>
        <w:rPr>
          <w:rFonts w:ascii="Times New Roman;Times;Serif" w:hAnsi="Times New Roman;Times;Serif"/>
          <w:b/>
          <w:sz w:val="28"/>
        </w:rPr>
        <w:t>WASHINGTON, D.C. 20549</w:t>
      </w:r>
    </w:p>
    <w:p>
      <w:pPr>
        <w:pStyle w:val="TextBody"/>
        <w:bidi w:val="0"/>
        <w:spacing w:before="0" w:after="0"/>
        <w:jc w:val="center"/>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36"/>
        </w:rPr>
      </w:pPr>
      <w:r>
        <w:rPr>
          <w:rFonts w:ascii="Times New Roman;Times;Serif" w:hAnsi="Times New Roman;Times;Serif"/>
          <w:b/>
          <w:sz w:val="36"/>
        </w:rPr>
        <w:t xml:space="preserve">FORM </w:t>
      </w:r>
      <w:bookmarkStart w:id="2" w:name="xdx_90E_edei--DocumentType_c20260820__20"/>
      <w:bookmarkEnd w:id="2"/>
      <w:r>
        <w:rPr>
          <w:rFonts w:ascii="Times New Roman;Times;Serif" w:hAnsi="Times New Roman;Times;Serif"/>
          <w:b/>
          <w:sz w:val="36"/>
        </w:rPr>
        <w:t>8-K</w:t>
      </w:r>
    </w:p>
    <w:p>
      <w:pPr>
        <w:pStyle w:val="TextBody"/>
        <w:bidi w:val="0"/>
        <w:spacing w:before="0" w:after="0"/>
        <w:jc w:val="center"/>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rPr>
      </w:pPr>
      <w:r>
        <w:rPr>
          <w:rFonts w:ascii="Times New Roman;Times;Serif" w:hAnsi="Times New Roman;Times;Serif"/>
          <w:b/>
          <w:sz w:val="24"/>
        </w:rPr>
        <w:t>PURSUANT TO SECTION 13 OR 15(D) OF</w:t>
      </w:r>
      <w:r>
        <w:rPr>
          <w:rFonts w:ascii="Times New Roman;Times;Serif" w:hAnsi="Times New Roman;Times;Serif"/>
        </w:rPr>
        <w:br/>
      </w:r>
      <w:r>
        <w:rPr>
          <w:rFonts w:ascii="Times New Roman;Times;Serif" w:hAnsi="Times New Roman;Times;Serif"/>
          <w:b/>
          <w:sz w:val="24"/>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bookmarkStart w:id="3" w:name="xdx_900_edei--DocumentPeriodEndDate_c202"/>
      <w:bookmarkEnd w:id="3"/>
      <w:r>
        <w:rPr>
          <w:rFonts w:ascii="Times New Roman;Times;Serif" w:hAnsi="Times New Roman;Times;Serif"/>
          <w:sz w:val="20"/>
        </w:rPr>
        <w:t xml:space="preserve">August 20, 2026 </w:t>
      </w:r>
    </w:p>
    <w:p>
      <w:pPr>
        <w:pStyle w:val="TextBody"/>
        <w:bidi w:val="0"/>
        <w:spacing w:before="0" w:after="0"/>
        <w:jc w:val="center"/>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center"/>
        <w:rPr/>
      </w:pPr>
      <w:bookmarkStart w:id="4" w:name="xdx_907_edei--EntityRegistrantName_c2026"/>
      <w:bookmarkEnd w:id="4"/>
      <w:r>
        <w:rPr>
          <w:rFonts w:ascii="Times New Roman;Times;Serif" w:hAnsi="Times New Roman;Times;Serif"/>
          <w:b/>
          <w:i w:val="false"/>
          <w:caps w:val="false"/>
          <w:smallCaps w:val="false"/>
          <w:sz w:val="48"/>
        </w:rPr>
        <w:t>OSI SYSTEMS, INC.</w:t>
      </w:r>
      <w:r>
        <w:rPr>
          <w:b/>
          <w:sz w:val="48"/>
        </w:rPr>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563"/>
        <w:gridCol w:w="3065"/>
        <w:gridCol w:w="3577"/>
      </w:tblGrid>
      <w:tr>
        <w:trPr/>
        <w:tc>
          <w:tcPr>
            <w:tcW w:w="3563" w:type="dxa"/>
            <w:tcBorders/>
            <w:vAlign w:val="center"/>
          </w:tcPr>
          <w:p>
            <w:pPr>
              <w:pStyle w:val="TableContents"/>
              <w:bidi w:val="0"/>
              <w:spacing w:before="0" w:after="283"/>
              <w:jc w:val="center"/>
              <w:rPr>
                <w:b/>
                <w:caps/>
              </w:rPr>
            </w:pPr>
            <w:bookmarkStart w:id="5" w:name="xdx_908_edei--EntityIncorporationStateCo"/>
            <w:bookmarkEnd w:id="5"/>
            <w:r>
              <w:rPr>
                <w:b/>
                <w:caps/>
              </w:rPr>
              <w:t>Delaware</w:t>
            </w:r>
          </w:p>
        </w:tc>
        <w:tc>
          <w:tcPr>
            <w:tcW w:w="3065" w:type="dxa"/>
            <w:tcBorders/>
            <w:vAlign w:val="center"/>
          </w:tcPr>
          <w:p>
            <w:pPr>
              <w:pStyle w:val="TableContents"/>
              <w:bidi w:val="0"/>
              <w:spacing w:before="0" w:after="283"/>
              <w:jc w:val="center"/>
              <w:rPr>
                <w:b/>
              </w:rPr>
            </w:pPr>
            <w:bookmarkStart w:id="6" w:name="xdx_909_edei--EntityFileNumber_c20260820"/>
            <w:bookmarkEnd w:id="6"/>
            <w:r>
              <w:rPr>
                <w:b/>
              </w:rPr>
              <w:t>000-23125</w:t>
            </w:r>
          </w:p>
        </w:tc>
        <w:tc>
          <w:tcPr>
            <w:tcW w:w="3577" w:type="dxa"/>
            <w:tcBorders/>
            <w:vAlign w:val="center"/>
          </w:tcPr>
          <w:p>
            <w:pPr>
              <w:pStyle w:val="TableContents"/>
              <w:bidi w:val="0"/>
              <w:spacing w:before="0" w:after="283"/>
              <w:jc w:val="center"/>
              <w:rPr>
                <w:b/>
              </w:rPr>
            </w:pPr>
            <w:bookmarkStart w:id="7" w:name="xdx_905_edei--EntityTaxIdentificationNum"/>
            <w:bookmarkEnd w:id="7"/>
            <w:r>
              <w:rPr>
                <w:b/>
              </w:rPr>
              <w:t>33-0238801</w:t>
            </w:r>
          </w:p>
        </w:tc>
      </w:tr>
      <w:tr>
        <w:trPr/>
        <w:tc>
          <w:tcPr>
            <w:tcW w:w="3563" w:type="dxa"/>
            <w:tcBorders/>
            <w:vAlign w:val="center"/>
          </w:tcPr>
          <w:p>
            <w:pPr>
              <w:pStyle w:val="TableContents"/>
              <w:bidi w:val="0"/>
              <w:spacing w:before="0" w:after="283"/>
              <w:jc w:val="center"/>
              <w:rPr>
                <w:b/>
              </w:rPr>
            </w:pPr>
            <w:r>
              <w:rPr>
                <w:b/>
              </w:rPr>
              <w:t>(STATE OR OTHER JURISDICTION</w:t>
              <w:br/>
              <w:t>OF INCORPORATION)</w:t>
            </w:r>
          </w:p>
        </w:tc>
        <w:tc>
          <w:tcPr>
            <w:tcW w:w="3065" w:type="dxa"/>
            <w:tcBorders/>
            <w:vAlign w:val="center"/>
          </w:tcPr>
          <w:p>
            <w:pPr>
              <w:pStyle w:val="TableContents"/>
              <w:bidi w:val="0"/>
              <w:spacing w:before="0" w:after="283"/>
              <w:jc w:val="center"/>
              <w:rPr>
                <w:b/>
              </w:rPr>
            </w:pPr>
            <w:r>
              <w:rPr>
                <w:b/>
              </w:rPr>
              <w:t>(COMMISSION FILE NUMBER)</w:t>
            </w:r>
          </w:p>
        </w:tc>
        <w:tc>
          <w:tcPr>
            <w:tcW w:w="3577" w:type="dxa"/>
            <w:tcBorders/>
            <w:vAlign w:val="center"/>
          </w:tcPr>
          <w:p>
            <w:pPr>
              <w:pStyle w:val="TableContents"/>
              <w:bidi w:val="0"/>
              <w:spacing w:before="0" w:after="283"/>
              <w:jc w:val="center"/>
              <w:rPr/>
            </w:pPr>
            <w:r>
              <w:rPr>
                <w:b/>
              </w:rPr>
              <w:t>(IRS EMPLOYER IDENTIFICATION</w:t>
            </w:r>
            <w:r>
              <w:rPr/>
              <w:br/>
            </w:r>
            <w:r>
              <w:rPr>
                <w:b/>
              </w:rPr>
              <w:t>NO.)</w:t>
            </w:r>
          </w:p>
        </w:tc>
      </w:tr>
    </w:tbl>
    <w:p>
      <w:pPr>
        <w:pStyle w:val="TextBody"/>
        <w:bidi w:val="0"/>
        <w:spacing w:before="0" w:after="0"/>
        <w:jc w:val="left"/>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center"/>
              <w:rPr/>
            </w:pPr>
            <w:bookmarkStart w:id="8" w:name="xdx_905_edei--EntityAddressAddressLine1_"/>
            <w:bookmarkEnd w:id="8"/>
            <w:r>
              <w:rPr>
                <w:b/>
              </w:rPr>
              <w:t>12525 CHADRON AVENUE</w:t>
              <w:br/>
            </w:r>
            <w:bookmarkStart w:id="9" w:name="xdx_90F_edei--EntityAddressCityOrTown_c2"/>
            <w:bookmarkEnd w:id="9"/>
            <w:r>
              <w:rPr>
                <w:b/>
              </w:rPr>
              <w:t xml:space="preserve">HAWTHORNE, </w:t>
            </w:r>
            <w:bookmarkStart w:id="10" w:name="xdx_90E_edei--EntityAddressStateOrProvin"/>
            <w:bookmarkEnd w:id="10"/>
            <w:r>
              <w:rPr>
                <w:b/>
              </w:rPr>
              <w:t>CA</w:t>
            </w:r>
            <w:r>
              <w:rPr/>
              <w:t xml:space="preserve"> </w:t>
            </w:r>
            <w:bookmarkStart w:id="11" w:name="xdx_902_edei--EntityAddressPostalZipCode"/>
            <w:bookmarkEnd w:id="11"/>
            <w:r>
              <w:rPr>
                <w:b/>
              </w:rPr>
              <w:t>90250</w:t>
            </w:r>
          </w:p>
        </w:tc>
      </w:tr>
      <w:tr>
        <w:trPr/>
        <w:tc>
          <w:tcPr>
            <w:tcW w:w="5761" w:type="dxa"/>
            <w:tcBorders/>
            <w:vAlign w:val="center"/>
          </w:tcPr>
          <w:p>
            <w:pPr>
              <w:pStyle w:val="TableContents"/>
              <w:bidi w:val="0"/>
              <w:spacing w:before="0" w:after="283"/>
              <w:jc w:val="center"/>
              <w:rPr>
                <w:b/>
                <w:sz w:val="20"/>
              </w:rPr>
            </w:pPr>
            <w:r>
              <w:rPr>
                <w:b/>
                <w:sz w:val="20"/>
              </w:rPr>
              <w:t xml:space="preserve">(ADDRESS OF PRINCIPAL EXECUTIVE OFFICES) (ZIP CODE) </w:t>
            </w:r>
          </w:p>
        </w:tc>
      </w:tr>
    </w:tbl>
    <w:p>
      <w:pPr>
        <w:pStyle w:val="TextBody"/>
        <w:bidi w:val="0"/>
        <w:spacing w:before="0" w:after="0"/>
        <w:jc w:val="center"/>
        <w:rPr/>
      </w:pPr>
      <w:r>
        <w:rPr/>
        <w:t> </w:t>
      </w:r>
    </w:p>
    <w:p>
      <w:pPr>
        <w:pStyle w:val="TextBody"/>
        <w:bidi w:val="0"/>
        <w:spacing w:before="0" w:after="0"/>
        <w:jc w:val="center"/>
        <w:rPr/>
      </w:pPr>
      <w:r>
        <w:rPr>
          <w:rFonts w:ascii="Times New Roman;Times;Serif" w:hAnsi="Times New Roman;Times;Serif"/>
          <w:b/>
          <w:i w:val="false"/>
          <w:caps w:val="false"/>
          <w:smallCaps w:val="false"/>
          <w:sz w:val="20"/>
        </w:rPr>
        <w:t>(</w:t>
      </w:r>
      <w:bookmarkStart w:id="12" w:name="xdx_900_edei--CityAreaCode_c20260820__20"/>
      <w:bookmarkEnd w:id="12"/>
      <w:r>
        <w:rPr>
          <w:rFonts w:ascii="Times New Roman;Times;Serif" w:hAnsi="Times New Roman;Times;Serif"/>
          <w:b/>
          <w:i w:val="false"/>
          <w:caps w:val="false"/>
          <w:smallCaps w:val="false"/>
          <w:sz w:val="20"/>
        </w:rPr>
        <w:t>310)</w:t>
      </w:r>
      <w:r>
        <w:rPr>
          <w:caps w:val="false"/>
          <w:smallCaps w:val="false"/>
        </w:rPr>
        <w:t xml:space="preserve"> </w:t>
      </w:r>
      <w:bookmarkStart w:id="13" w:name="xdx_90F_edei--LocalPhoneNumber_c20260820"/>
      <w:bookmarkEnd w:id="13"/>
      <w:r>
        <w:rPr>
          <w:rFonts w:ascii="Times New Roman;Times;Serif" w:hAnsi="Times New Roman;Times;Serif"/>
          <w:b/>
          <w:i w:val="false"/>
          <w:caps w:val="false"/>
          <w:smallCaps w:val="false"/>
          <w:sz w:val="20"/>
        </w:rPr>
        <w:t>978-0516</w:t>
      </w:r>
      <w:r>
        <w:rPr/>
        <w:br/>
      </w: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br/>
        <w:t>(FORMER NAME OR FORMER ADDRESS, IF CHANGED SINCE LAST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2750"/>
        <w:gridCol w:w="60"/>
        <w:gridCol w:w="1760"/>
        <w:gridCol w:w="60"/>
        <w:gridCol w:w="3260"/>
      </w:tblGrid>
      <w:tr>
        <w:trPr/>
        <w:tc>
          <w:tcPr>
            <w:tcW w:w="2750" w:type="dxa"/>
            <w:tcBorders>
              <w:bottom w:val="single" w:sz="8"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3260" w:type="dxa"/>
            <w:tcBorders>
              <w:bottom w:val="single" w:sz="8" w:space="0" w:color="000000"/>
            </w:tcBorders>
            <w:vAlign w:val="center"/>
          </w:tcPr>
          <w:p>
            <w:pPr>
              <w:pStyle w:val="TableContents"/>
              <w:bidi w:val="0"/>
              <w:spacing w:before="0" w:after="283"/>
              <w:ind w:left="0" w:right="0" w:hanging="200"/>
              <w:jc w:val="center"/>
              <w:rPr/>
            </w:pPr>
            <w:r>
              <w:rPr/>
              <w:t>Name of each exchange on which</w:t>
              <w:br/>
              <w:t>registered</w:t>
            </w:r>
          </w:p>
        </w:tc>
      </w:tr>
      <w:tr>
        <w:trPr/>
        <w:tc>
          <w:tcPr>
            <w:tcW w:w="2750" w:type="dxa"/>
            <w:tcBorders/>
            <w:tcMar>
              <w:bottom w:w="0" w:type="dxa"/>
            </w:tcMar>
            <w:vAlign w:val="center"/>
          </w:tcPr>
          <w:p>
            <w:pPr>
              <w:pStyle w:val="TableContents"/>
              <w:bidi w:val="0"/>
              <w:spacing w:before="0" w:after="283"/>
              <w:jc w:val="center"/>
              <w:rPr>
                <w:sz w:val="20"/>
              </w:rPr>
            </w:pPr>
            <w:bookmarkStart w:id="18" w:name="xdx_907_edei--Security12bTitle_c20260820"/>
            <w:bookmarkEnd w:id="18"/>
            <w:r>
              <w:rPr>
                <w:sz w:val="20"/>
              </w:rPr>
              <w:t>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sz w:val="20"/>
              </w:rPr>
            </w:pPr>
            <w:bookmarkStart w:id="19" w:name="xdx_906_edei--TradingSymbol_c20260820__2"/>
            <w:bookmarkEnd w:id="19"/>
            <w:r>
              <w:rPr>
                <w:sz w:val="20"/>
              </w:rPr>
              <w:t>OSIS</w:t>
            </w:r>
          </w:p>
        </w:tc>
        <w:tc>
          <w:tcPr>
            <w:tcW w:w="60" w:type="dxa"/>
            <w:tcBorders/>
            <w:tcMar>
              <w:bottom w:w="0" w:type="dxa"/>
            </w:tcMar>
            <w:vAlign w:val="center"/>
          </w:tcPr>
          <w:p>
            <w:pPr>
              <w:pStyle w:val="TableContents"/>
              <w:bidi w:val="0"/>
              <w:spacing w:before="0" w:after="283"/>
              <w:jc w:val="center"/>
              <w:rPr/>
            </w:pPr>
            <w:r>
              <w:rPr/>
              <w:t> </w:t>
            </w:r>
          </w:p>
        </w:tc>
        <w:tc>
          <w:tcPr>
            <w:tcW w:w="3260" w:type="dxa"/>
            <w:tcBorders/>
            <w:tcMar>
              <w:bottom w:w="0" w:type="dxa"/>
            </w:tcMar>
            <w:vAlign w:val="center"/>
          </w:tcPr>
          <w:p>
            <w:pPr>
              <w:pStyle w:val="TableContents"/>
              <w:bidi w:val="0"/>
              <w:spacing w:before="0" w:after="283"/>
              <w:jc w:val="center"/>
              <w:rPr>
                <w:sz w:val="20"/>
              </w:rPr>
            </w:pPr>
            <w:r>
              <w:rPr>
                <w:sz w:val="20"/>
              </w:rPr>
              <w:t xml:space="preserve">The </w:t>
            </w:r>
            <w:bookmarkStart w:id="20" w:name="xdx_906_edei--SecurityExchangeName_c2026"/>
            <w:bookmarkEnd w:id="20"/>
            <w:r>
              <w:rPr>
                <w:sz w:val="20"/>
              </w:rPr>
              <w:t>Nasdaq Global Select Market</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920" w:right="0" w:firstLine="60"/>
        <w:jc w:val="left"/>
        <w:rPr>
          <w:caps w:val="false"/>
          <w:smallCaps w:val="false"/>
        </w:rPr>
      </w:pPr>
      <w:r>
        <w:rPr>
          <w:caps w:val="false"/>
          <w:smallCaps w:val="false"/>
        </w:rPr>
        <w:t> </w:t>
      </w:r>
    </w:p>
    <w:p>
      <w:pPr>
        <w:pStyle w:val="TextBody"/>
        <w:bidi w:val="0"/>
        <w:spacing w:before="0" w:after="0"/>
        <w:ind w:left="0" w:right="2160" w:firstLine="60"/>
        <w:jc w:val="right"/>
        <w:rPr/>
      </w:pPr>
      <w:r>
        <w:rPr>
          <w:rFonts w:ascii="Times New Roman;Times;Serif" w:hAnsi="Times New Roman;Times;Serif"/>
          <w:b w:val="false"/>
          <w:i w:val="false"/>
          <w:caps w:val="false"/>
          <w:smallCaps w:val="false"/>
          <w:sz w:val="20"/>
        </w:rPr>
        <w:t>Emerging growth company</w:t>
      </w:r>
      <w:r>
        <w:rPr/>
        <w:t>     </w:t>
      </w:r>
      <w:bookmarkStart w:id="21" w:name="xdx_900_edei--EntityEmergingGrowthCompan"/>
      <w:bookmarkEnd w:id="21"/>
      <w:r>
        <w:rPr/>
        <w:t>☐ </w:t>
      </w:r>
    </w:p>
    <w:p>
      <w:pPr>
        <w:pStyle w:val="TextBody"/>
        <w:bidi w:val="0"/>
        <w:spacing w:before="0" w:after="0"/>
        <w:jc w:val="left"/>
        <w:rPr/>
      </w:pPr>
      <w:r>
        <w:rPr/>
        <w:t> </w:t>
      </w:r>
    </w:p>
    <w:p>
      <w:pPr>
        <w:pStyle w:val="TextBody"/>
        <w:bidi w:val="0"/>
        <w:spacing w:before="0" w:after="0"/>
        <w:jc w:val="both"/>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t>     ☐ </w:t>
      </w:r>
    </w:p>
    <w:p>
      <w:pPr>
        <w:pStyle w:val="TextBody"/>
        <w:bidi w:val="0"/>
        <w:spacing w:before="0" w:after="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830"/>
        <w:gridCol w:w="408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4085" w:type="dxa"/>
            <w:tcBorders/>
            <w:vAlign w:val="center"/>
          </w:tcPr>
          <w:p>
            <w:pPr>
              <w:pStyle w:val="TableContents"/>
              <w:bidi w:val="0"/>
              <w:spacing w:before="0" w:after="283"/>
              <w:jc w:val="left"/>
              <w:rPr/>
            </w:pPr>
            <w:r>
              <w:rPr/>
              <w:t> </w:t>
            </w:r>
            <w:r>
              <w:rPr>
                <w:rFonts w:ascii="Times New Roman;Times;Serif" w:hAnsi="Times New Roman;Times;Serif"/>
                <w:b/>
                <w:sz w:val="20"/>
              </w:rPr>
              <w:t xml:space="preserve">Results of Operations and Financial Condition.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we issued a press release announcing our financial results for the quarter ended June 30, 2026. A copy of the press release is attached hereto as Exhibit 99.1 and incorporated herein by this reference.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the information contained in this Item 2.02 (including Exhibit 99.1). It shall not be deemed to be “filed” for any purpose, including for the purposes of Section 18 of the Securities Exchange Act of 1934, as amended, or otherwise subject to the liabilities of that section, nor shall it be deemed to be incorporated by reference in any filing under the Securities Act of 1933, as amended, or the Securities Exchange Act of 1934, as amended,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we announced that our Board of Directors has approved an additional 1 million shares for repurchase under our stock repurchase program, increasing the total remaining authorization to 1,078,731 shares.</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830"/>
        <w:gridCol w:w="306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65" w:type="dxa"/>
            <w:tcBorders/>
            <w:vAlign w:val="center"/>
          </w:tcPr>
          <w:p>
            <w:pPr>
              <w:pStyle w:val="TableContents"/>
              <w:bidi w:val="0"/>
              <w:spacing w:before="0" w:after="283"/>
              <w:jc w:val="left"/>
              <w:rPr/>
            </w:pPr>
            <w:r>
              <w:rPr/>
              <w:t> </w:t>
            </w: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75"/>
        <w:gridCol w:w="245"/>
        <w:gridCol w:w="7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1"/>
        <w:gridCol w:w="9204"/>
      </w:tblGrid>
      <w:tr>
        <w:trPr/>
        <w:tc>
          <w:tcPr>
            <w:tcW w:w="1001" w:type="dxa"/>
            <w:tcBorders/>
            <w:vAlign w:val="center"/>
          </w:tcPr>
          <w:p>
            <w:pPr>
              <w:pStyle w:val="TableContents"/>
              <w:bidi w:val="0"/>
              <w:spacing w:before="0" w:after="283"/>
              <w:jc w:val="right"/>
              <w:rPr/>
            </w:pPr>
            <w:hyperlink w:anchor="tm2623681d1_ex99-1.htm">
              <w:r>
                <w:rPr>
                  <w:rStyle w:val="InternetLink"/>
                  <w:rFonts w:ascii="Times New Roman;Times;Serif" w:hAnsi="Times New Roman;Times;Serif"/>
                  <w:sz w:val="20"/>
                </w:rPr>
                <w:t>Exhibit 99.1:</w:t>
              </w:r>
            </w:hyperlink>
          </w:p>
        </w:tc>
        <w:tc>
          <w:tcPr>
            <w:tcW w:w="9204" w:type="dxa"/>
            <w:tcBorders/>
            <w:vAlign w:val="center"/>
          </w:tcPr>
          <w:p>
            <w:pPr>
              <w:pStyle w:val="TableContents"/>
              <w:bidi w:val="0"/>
              <w:spacing w:before="0" w:after="283"/>
              <w:jc w:val="left"/>
              <w:rPr/>
            </w:pPr>
            <w:hyperlink w:anchor="tm2623681d1_ex99-1.htm">
              <w:r>
                <w:rPr>
                  <w:rStyle w:val="InternetLink"/>
                </w:rPr>
                <w:t>Press Release of OSI Systems, Inc. dated August 20, 2026 announcing financial results for the quarter ended June 30, 2026.</w:t>
              </w:r>
            </w:hyperlink>
          </w:p>
        </w:tc>
      </w:tr>
      <w:tr>
        <w:trPr/>
        <w:tc>
          <w:tcPr>
            <w:tcW w:w="1001" w:type="dxa"/>
            <w:tcBorders/>
            <w:vAlign w:val="center"/>
          </w:tcPr>
          <w:p>
            <w:pPr>
              <w:pStyle w:val="TableContents"/>
              <w:bidi w:val="0"/>
              <w:spacing w:before="0" w:after="283"/>
              <w:jc w:val="right"/>
              <w:rPr/>
            </w:pPr>
            <w:hyperlink w:anchor="tm2623681d1_ex99-2.htm">
              <w:r>
                <w:rPr>
                  <w:rStyle w:val="InternetLink"/>
                  <w:rFonts w:ascii="Times New Roman;Times;Serif" w:hAnsi="Times New Roman;Times;Serif"/>
                  <w:sz w:val="20"/>
                </w:rPr>
                <w:t>Exhibit 99.2:</w:t>
              </w:r>
            </w:hyperlink>
          </w:p>
        </w:tc>
        <w:tc>
          <w:tcPr>
            <w:tcW w:w="9204" w:type="dxa"/>
            <w:tcBorders/>
            <w:vAlign w:val="center"/>
          </w:tcPr>
          <w:p>
            <w:pPr>
              <w:pStyle w:val="TableContents"/>
              <w:bidi w:val="0"/>
              <w:spacing w:before="0" w:after="283"/>
              <w:jc w:val="left"/>
              <w:rPr/>
            </w:pPr>
            <w:hyperlink w:anchor="tm2623681d1_ex99-2.htm">
              <w:r>
                <w:rPr>
                  <w:rStyle w:val="InternetLink"/>
                </w:rPr>
                <w:t>Press Release of OSI Systems, Inc. dated August 20, 2026 announcing increase in share repurchase authorization.</w:t>
              </w:r>
            </w:hyperlink>
          </w:p>
        </w:tc>
      </w:tr>
      <w:tr>
        <w:trPr/>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Exhibit 104:</w:t>
            </w:r>
          </w:p>
        </w:tc>
        <w:tc>
          <w:tcPr>
            <w:tcW w:w="9204" w:type="dxa"/>
            <w:tcBorders/>
            <w:vAlign w:val="center"/>
          </w:tcPr>
          <w:p>
            <w:pPr>
              <w:pStyle w:val="TableContents"/>
              <w:bidi w:val="0"/>
              <w:spacing w:before="0" w:after="283"/>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r>
              <w:rPr/>
              <w:t> </w:t>
            </w:r>
          </w:p>
        </w:tc>
        <w:tc>
          <w:tcPr>
            <w:tcW w:w="9480" w:type="dxa"/>
            <w:gridSpan w:val="2"/>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pPr>
            <w:hyperlink w:anchor="tm262368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3681d1_ex99-1.htm">
              <w:r>
                <w:rPr>
                  <w:rStyle w:val="InternetLink"/>
                  <w:rFonts w:ascii="Times New Roman;Times;Serif" w:hAnsi="Times New Roman;Times;Serif"/>
                  <w:sz w:val="20"/>
                </w:rPr>
                <w:t>Press Release of OSI Systems, Inc. dated August 20, 2026 announcing financial results for the quarter ended June 30, 2026.</w:t>
              </w:r>
            </w:hyperlink>
          </w:p>
        </w:tc>
      </w:tr>
      <w:tr>
        <w:trPr/>
        <w:tc>
          <w:tcPr>
            <w:tcW w:w="725" w:type="dxa"/>
            <w:tcBorders/>
            <w:tcMar>
              <w:bottom w:w="0" w:type="dxa"/>
            </w:tcMar>
            <w:vAlign w:val="center"/>
          </w:tcPr>
          <w:p>
            <w:pPr>
              <w:pStyle w:val="TableContents"/>
              <w:bidi w:val="0"/>
              <w:spacing w:before="0" w:after="283"/>
              <w:jc w:val="center"/>
              <w:rPr/>
            </w:pPr>
            <w:hyperlink w:anchor="tm2623681d1_ex99-2.htm">
              <w:r>
                <w:rPr>
                  <w:rStyle w:val="InternetLink"/>
                </w:rPr>
                <w:t xml:space="preserve">99.2 </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3681d1_ex99-2.htm">
              <w:r>
                <w:rPr>
                  <w:rStyle w:val="InternetLink"/>
                </w:rPr>
                <w:t>Press Release of OSI Systems, Inc. dated August 20, 2026 announcing increase in share repurchase authorization.</w:t>
              </w:r>
            </w:hyperlink>
          </w:p>
        </w:tc>
      </w:tr>
      <w:tr>
        <w:trPr/>
        <w:tc>
          <w:tcPr>
            <w:tcW w:w="725"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shd w:fill="FFFFFF" w:val="clear"/>
              </w:rPr>
              <w:t>Cover Page Interactive Data File (embedded within the Inline XBRL document)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865"/>
        <w:gridCol w:w="320"/>
        <w:gridCol w:w="4325"/>
      </w:tblGrid>
      <w:tr>
        <w:trPr/>
        <w:tc>
          <w:tcPr>
            <w:tcW w:w="186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OSI SYSTEMS, INC.</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464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Alan Edrick</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Alan Edrick</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623681d1_ex99-1.htm"/>
      <w:bookmarkStart w:id="23" w:name="kstm2623681d1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OSI SYSTEMS REPORTS FISCAL 2026 FOURTH QUARTER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FISCAL YEAR FINANCIAL RESULTS</w:t>
      </w:r>
    </w:p>
    <w:p>
      <w:pPr>
        <w:pStyle w:val="TextBody"/>
        <w:bidi w:val="0"/>
        <w:spacing w:before="0" w:after="0"/>
        <w:ind w:left="0" w:right="0" w:hanging="0"/>
        <w:jc w:val="center"/>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1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Fiscal Year 2026 Revenues of $1.79 billion</w:t>
            </w:r>
          </w:p>
        </w:tc>
      </w:tr>
    </w:tbl>
    <w:p>
      <w:pPr>
        <w:pStyle w:val="TextBody"/>
        <w:bidi w:val="0"/>
        <w:spacing w:before="0" w:after="0"/>
        <w:ind w:left="0" w:right="0" w:hanging="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1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Q4 Earnings per Diluted Share</w:t>
            </w:r>
          </w:p>
        </w:tc>
      </w:tr>
    </w:tbl>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25"/>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700" w:type="dxa"/>
            <w:tcBorders/>
            <w:vAlign w:val="center"/>
          </w:tcPr>
          <w:p>
            <w:pPr>
              <w:pStyle w:val="TableContents"/>
              <w:bidi w:val="0"/>
              <w:spacing w:before="0" w:after="283"/>
              <w:jc w:val="left"/>
              <w:rPr>
                <w:b/>
                <w:sz w:val="20"/>
              </w:rPr>
            </w:pPr>
            <w:r>
              <w:rPr>
                <w:b/>
                <w:sz w:val="20"/>
              </w:rPr>
              <w:t>GAAP EPS of $3.27</w:t>
            </w:r>
          </w:p>
        </w:tc>
      </w:tr>
    </w:tbl>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2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5315" w:type="dxa"/>
            <w:tcBorders/>
            <w:vAlign w:val="center"/>
          </w:tcPr>
          <w:p>
            <w:pPr>
              <w:pStyle w:val="TableContents"/>
              <w:bidi w:val="0"/>
              <w:spacing w:before="0" w:after="283"/>
              <w:jc w:val="left"/>
              <w:rPr>
                <w:b/>
                <w:sz w:val="20"/>
              </w:rPr>
            </w:pPr>
            <w:r>
              <w:rPr>
                <w:b/>
                <w:sz w:val="20"/>
              </w:rPr>
              <w:t>Record Non-GAAP EPS of $3.78 (17% growth year-over-year)</w:t>
            </w:r>
          </w:p>
        </w:tc>
      </w:tr>
    </w:tbl>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1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Fiscal Year 2026 Earnings per Diluted Share</w:t>
            </w:r>
          </w:p>
        </w:tc>
      </w:tr>
    </w:tbl>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25"/>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700" w:type="dxa"/>
            <w:tcBorders/>
            <w:vAlign w:val="center"/>
          </w:tcPr>
          <w:p>
            <w:pPr>
              <w:pStyle w:val="TableContents"/>
              <w:bidi w:val="0"/>
              <w:spacing w:before="0" w:after="283"/>
              <w:jc w:val="left"/>
              <w:rPr>
                <w:b/>
                <w:sz w:val="20"/>
              </w:rPr>
            </w:pPr>
            <w:r>
              <w:rPr>
                <w:b/>
                <w:sz w:val="20"/>
              </w:rPr>
              <w:t>GAAP EPS of $8.95</w:t>
            </w:r>
          </w:p>
        </w:tc>
      </w:tr>
    </w:tbl>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125"/>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5420" w:type="dxa"/>
            <w:tcBorders/>
            <w:vAlign w:val="center"/>
          </w:tcPr>
          <w:p>
            <w:pPr>
              <w:pStyle w:val="TableContents"/>
              <w:bidi w:val="0"/>
              <w:spacing w:before="0" w:after="283"/>
              <w:jc w:val="left"/>
              <w:rPr>
                <w:b/>
                <w:sz w:val="20"/>
              </w:rPr>
            </w:pPr>
            <w:r>
              <w:rPr>
                <w:b/>
                <w:sz w:val="20"/>
              </w:rPr>
              <w:t>Record Non-GAAP EPS of $10.35 (11% growth year-over-year)</w:t>
            </w:r>
          </w:p>
        </w:tc>
      </w:tr>
    </w:tbl>
    <w:p>
      <w:pPr>
        <w:pStyle w:val="TextBody"/>
        <w:bidi w:val="0"/>
        <w:spacing w:before="0" w:after="0"/>
        <w:ind w:left="0" w:right="0" w:hanging="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1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Q4 Operating Cash Flow of $182 million</w:t>
            </w:r>
          </w:p>
        </w:tc>
      </w:tr>
    </w:tbl>
    <w:p>
      <w:pPr>
        <w:pStyle w:val="TextBody"/>
        <w:bidi w:val="0"/>
        <w:spacing w:before="0" w:after="0"/>
        <w:ind w:left="0" w:right="0" w:hanging="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11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3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Fiscal Year 2026 Operating Cash Flow of $276 million</w:t>
            </w:r>
          </w:p>
        </w:tc>
      </w:tr>
    </w:tbl>
    <w:p>
      <w:pPr>
        <w:pStyle w:val="TextBody"/>
        <w:bidi w:val="0"/>
        <w:spacing w:before="0" w:after="0"/>
        <w:ind w:left="0" w:right="0" w:hanging="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1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Backlog of $1.9 billion</w:t>
            </w:r>
          </w:p>
        </w:tc>
      </w:tr>
    </w:tbl>
    <w:p>
      <w:pPr>
        <w:pStyle w:val="TextBody"/>
        <w:bidi w:val="0"/>
        <w:spacing w:before="0" w:after="0"/>
        <w:ind w:left="0" w:right="0" w:hanging="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 Introduces Fiscal 2027 Revenues and Non-GAAP EPS Guidance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HAWTHORNE, Calif. — (BUSINESS WIRE) — August 20, 2026 — OSI Systems, Inc. (the “Company” or “OSI Systems”) (NASDAQ: OSIS) today announced its financial results for the three months and fiscal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Ajay Mehra, OSI Systems’ President and Chief Executive Officer, stated, “Fiscal 2026 was a strong year for the Company, capped by record fourth quarter non-GAAP earnings per share and record operating cash flow, despite the impact of revenue headwinds from the Middle East conflicts which shifted the timing of certain planned deliveries. Our teams performed well across our three divisions, delivering solid bookings which led to substantial backlog. As we enter fiscal 2027, our opportunity pipeline, disciplined operating execution and continued focus on cash generation position us well to advance key strategic initiatives and drive long-term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0"/>
        <w:gridCol w:w="60"/>
        <w:gridCol w:w="125"/>
        <w:gridCol w:w="695"/>
        <w:gridCol w:w="60"/>
        <w:gridCol w:w="60"/>
        <w:gridCol w:w="125"/>
        <w:gridCol w:w="695"/>
        <w:gridCol w:w="60"/>
        <w:gridCol w:w="60"/>
        <w:gridCol w:w="905"/>
        <w:gridCol w:w="185"/>
        <w:gridCol w:w="60"/>
        <w:gridCol w:w="125"/>
        <w:gridCol w:w="845"/>
        <w:gridCol w:w="60"/>
        <w:gridCol w:w="60"/>
        <w:gridCol w:w="125"/>
        <w:gridCol w:w="845"/>
        <w:gridCol w:w="60"/>
        <w:gridCol w:w="60"/>
        <w:gridCol w:w="905"/>
        <w:gridCol w:w="20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per-share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1,713,166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1,785,984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backlog was approximately $1.9 billion as of June 30, 2026 compared to $1.8 billion a year ago.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Mehra added, "The Security division continued to execute well during the fourth quarter, delivering strong profitability, outstanding cash generation and healthy bookings. While revenues were impacted by disruptions from the Middle East conflicts, underlying demand for our products and services remain encouraging. These delays do not reflect order cancellations and remain in our backlog with updated delivery schedules. The Security division ended the year with a substantial backlog, a significant opportunity pipeline and recent program wins that position the business well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Mehra continued, “The Optoelectronics and Manufacturing division delivered strong results for the quarter with revenues up about 5% year-over-year on broad-based demand across several key end markets. Our ability to support customers with highly engineered products, precision manufacturing capabilities and global operational reach continues to differentiate us in the marketplace. We are excited by the opportunities we see across our aerospace, defense, healthcare, technology and industrial Optoelectronics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Mehra further added, “The Healthcare division delivered an improved fourth quarter, with revenues up approximately 5% and an adjusted operating margin of 10% compared with 1% in the prior-year quarter, demonstrating the impact of operational improvements implemented throughout the year. We are focused on expanding our installed base, supporting healthcare providers with innovative clinical solutions and advancing product development initiatives designed to enhance patient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repurchased 564,880 shares during the fiscal 2026 fourth quarter for an aggregate cash amount of $123.6 million. The Company ended fiscal 2026 with $359.8 million of cash and cash equivalents, up from $106.4 million a year earlier. During fiscal 2026, the Company refinanced and expanded its long-term debt, extended maturities, enhanced financial flexibility to fund growth initiatives, and reduced bank lines of credit to zero while continuing to return capital to shareholders through stock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2027 Outlook</w:t>
      </w:r>
    </w:p>
    <w:p>
      <w:pPr>
        <w:pStyle w:val="TextBody"/>
        <w:bidi w:val="0"/>
        <w:spacing w:before="0" w:after="0"/>
        <w:ind w:left="0" w:right="0" w:hanging="0"/>
        <w:jc w:val="left"/>
        <w:rPr>
          <w:caps w:val="false"/>
          <w:smallCaps w:val="false"/>
        </w:rPr>
      </w:pPr>
      <w:r>
        <w:rPr>
          <w:caps w:val="false"/>
          <w:smallCaps w:val="false"/>
        </w:rPr>
        <w:t> </w:t>
      </w:r>
    </w:p>
    <w:tbl>
      <w:tblPr>
        <w:tblW w:w="5935" w:type="dxa"/>
        <w:jc w:val="center"/>
        <w:tblInd w:w="0" w:type="dxa"/>
        <w:tblLayout w:type="fixed"/>
        <w:tblCellMar>
          <w:top w:w="0" w:type="dxa"/>
          <w:left w:w="0" w:type="dxa"/>
          <w:bottom w:w="0" w:type="dxa"/>
          <w:right w:w="0" w:type="dxa"/>
        </w:tblCellMar>
      </w:tblPr>
      <w:tblGrid>
        <w:gridCol w:w="3350"/>
        <w:gridCol w:w="60"/>
        <w:gridCol w:w="252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Guidance</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 billion - $1.930 billion</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YoY Growth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 - 8.1%</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Diluted 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 $11.49</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YoY Growth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7.5% - 11.0%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introducing its fiscal 2027 guidance for revenues and non-GAAP diluted earnings per share, as indicated above. Actual revenues and non-GAAP diluted earnings per share could vary from this guidance due to factors discussed under “Forward-Looking Statements” </w:t>
      </w:r>
      <w:r>
        <w:rPr>
          <w:rFonts w:ascii="Times New Roman;Times;Serif" w:hAnsi="Times New Roman;Times;Serif"/>
          <w:b w:val="false"/>
          <w:i w:val="false"/>
          <w:caps w:val="false"/>
          <w:smallCaps w:val="false"/>
          <w:sz w:val="20"/>
          <w:shd w:fill="FFFFFF" w:val="clear"/>
        </w:rPr>
        <w:t>or other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fiscal 2027 diluted earnings per share guidance is provided on a non-GAAP basis only. The Company does not provide a reconciliation of guidance for non-GAAP diluted EPS to GAAP diluted EPS (the most directly comparable GAAP financial measure) on a forward-looking basis because the Company is unable to provide a meaningful or accurate compilation of reconciling items and certain information is not available. This is due to the inherent difficulty and complexity in accurately forecasting the timing and amounts of various items included in the calculation of GAAP diluted EPS but excluded in the calculation of non-GAAP diluted EPS, such as acquisition costs and other non-recurring items that have not yet occurred, are out of the Company’s control or cannot otherwise reasonably be predicted. For the same reasons, the Company is unable to address the significance of unavailable information which may be material and therefore could result in GAAP diluted EPS being materially different from projected non-GAAP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and simultaneous webcast beginning at 1:30 pm PT (4:30 pm ET) today to discuss its financial results for the 2026 fourth fiscal quarter and full fiscal year. To listen, please visit the Investor Relations section of the OSI Systems website at </w:t>
      </w:r>
      <w:r>
        <w:rPr>
          <w:rFonts w:ascii="Times New Roman;Times;Serif" w:hAnsi="Times New Roman;Times;Serif"/>
          <w:b w:val="false"/>
          <w:i w:val="false"/>
          <w:caps w:val="false"/>
          <w:smallCaps w:val="false"/>
          <w:sz w:val="20"/>
          <w:u w:val="single"/>
        </w:rPr>
        <w:t>http://investors.osi-systems.com/index.cfm</w:t>
      </w:r>
      <w:r>
        <w:rPr>
          <w:rFonts w:ascii="Times New Roman;Times;Serif" w:hAnsi="Times New Roman;Times;Serif"/>
          <w:b w:val="false"/>
          <w:i w:val="false"/>
          <w:caps w:val="false"/>
          <w:smallCaps w:val="false"/>
          <w:sz w:val="20"/>
        </w:rPr>
        <w:t xml:space="preserve"> and follow the link that will be posted on the front page. A replay of the webcast will be available beginning shortly after the conclusion of the conference call for approximately three months thereafter. The replay can be accessed through the Company’s website at </w:t>
      </w:r>
      <w:r>
        <w:rPr>
          <w:rFonts w:ascii="Times New Roman;Times;Serif" w:hAnsi="Times New Roman;Times;Serif"/>
          <w:b w:val="false"/>
          <w:i w:val="false"/>
          <w:caps w:val="false"/>
          <w:smallCaps w:val="false"/>
          <w:sz w:val="20"/>
          <w:u w:val="single"/>
        </w:rPr>
        <w:t>www.osi-systems.com.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OSI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OSI Systems designs and manufactures specialized electronic systems and components for critical applications. The Company operates through three business segments: Security, Optoelectronics and Manufacturing, and Healthcare. Its Security division delivers advanced inspection systems, turnkey screening solutions, and comprehensive support services to protect people and infrastructure. The Optoelectronics and Manufacturing segment serves as a global supplier of high-performance optoelectronic solutions and precision manufacturing services for leading OEMs. The Healthcare segment focuses on patient monitoring, diagnostic cardiology, and related services with the goal of enhancing clinical care and patient outcomes. Serving customers in over 170 countries, OSI Systems strategically positions its sales, service, R&amp;D, and manufacturing capabilities worldwide to provide fast and efficient delivery and support. For more information on OSI Systems or any of its subsidiary companies, visit www.osi-systems.com. News Filter: OSIS-E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includes a presentation of non-GAAP net income, non-GAAP diluted earnings per share, non-GAAP operating income (loss) by segment and non-GAAP operating margin, all of which are non-GAAP financial measures. The presentation of these non-GAAP figures is provided to allow for the comparison of the underlying performance of the Company, excluding the impact of impairment, restructuring and other charges (including certain legal costs), amortization of intangible assets acquired through business acquisitions, and associated tax effects, and discrete income tax items. Although we exclude amortization of acquired intangible assets from our non-GAAP figures, revenue generated from such intangibles is included in determining non-GAAP financial performance of the Company. Management believes that the non-GAAP financial measures presented in this earnings release provide (i) enhanced insight into the ongoing operations of the Company, (ii) meaningful information regarding the Company’s financial results (excluding amounts management does not view as reflective of ongoing operating results) for purposes of planning, forecasting and assessing the performance of the Company’s businesses, (iii) a meaningful comparison of financial results of the current period against results of past periods and (iv) financial results that are generally more comparable to financial results of peer companies than are GAAP figures. Non-GAAP financial measures should not be assessed in isolation or as a substitute for measures of financial performance prepared in accordance with GAAP. Our non-GAAP financial measures may not be the same as measures used by other companies due to possible differences in methods and in the items or events for which adjustments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GAAP financial information to non-GAAP financial information are provided in the accompanying tables. The financial results calculated in accordance with GAAP and reconciliations from those financial results should be carefully evaluated.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This press release contains forward-looking statements within the meaning of the Private Securities Litigation Reform Act of 1995, Section 27A of the Securities Act of 1933, as amended, and Section 21E of the Securities Exchange Act of 1934, as amended. Forward-looking statements relate to the Company's current expectations, beliefs, and projections concerning matters that are not historical facts. Forward-looking statements are not guarantees of future performance and involve uncertainties, risks, assumptions, and contingencies, many of which are outside the Company's control and which may cause actual results to differ materially from those described in or implied by any forward-looking statement. Forward-looking statements include, but are not limited to, information provided regarding expected revenues, earnings, growth, cash flow generation, and operational performance in fiscal 2027 and beyond. The Company could be exposed to a variety of negative consequences as a result of delays related to the award of domestic and international contracts; failure to secure the renewal of key customer contracts; delays in customer programs; government shutdowns; delays in revenue recognition related to the timing of customer acceptance; the impact of potential information technology, cybersecurity or data security breaches; changes in domestic and foreign government spending and budgetary, procurement and trade policies adverse to the Company's businesses; the impact of the Russia-Ukraine conflict or conflicts in the Middle East, including the potential for broad economic disruption, increased global tensions, or potential disruptions to customer operations, procurement activities, transportation networks and project timing;</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shd w:fill="FFFFFF" w:val="clear"/>
        </w:rPr>
        <w:t>global economic uncertainty, including the impact of tariffs; material delays and cancellations of orders or deliveries thereon, supply chain and transportation networks disruptions, plant closures, or other adverse impacts on the Company’s ability to execute business plans; unfavorable currency exchange rate fluctuations; unfavorable interest rate fluctuations; effect of changes in tax legislation; market acceptance of the Company's new and existing technologies, products, and services; the Company's ability to win new business and convert orders received to sales within the current fiscal year; contract and regulatory compliance matters, or actions which, if brought, could result in judgments, settlements, fines, injunctions, debarment, or penalties; and other risks and uncertainties, including, but not limited to, those detailed herein and from time to time in the Company's Securities and Exchange Commission filings, which could have a material and adverse impact on the Company's business, financial condition, and results of operations. For additional information on these and other factors that could cause the Company's future results to differ materially from those in any forward-looking statements, see the section titled "Risk Factors" in the Company's most recently filed Annual Report on Form 10-K and other risks described therein and in documents subsequently filed by the Company from time to time with the Securities and Exchange Commission. Undue reliance should not be placed on forward-looking statements, which are based on currently available information and speak only as of the date on which they are made. The Company assumes no obligation to update any forward-looking statement made in this press release that becomes untrue because of subsequent events, new information, or otherwise, except to the extent required to do so under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Additional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OSI Systems,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Ajay Vashishat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(310) 349-2237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avashishat@osi-systems.com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OSI SYSTEMS,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UNAUDITED CONDENSED Consolidated Statements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066" w:type="dxa"/>
        <w:jc w:val="left"/>
        <w:tblInd w:w="0" w:type="dxa"/>
        <w:tblLayout w:type="fixed"/>
        <w:tblCellMar>
          <w:top w:w="0" w:type="dxa"/>
          <w:left w:w="0" w:type="dxa"/>
          <w:bottom w:w="0" w:type="dxa"/>
          <w:right w:w="0" w:type="dxa"/>
        </w:tblCellMar>
      </w:tblPr>
      <w:tblGrid>
        <w:gridCol w:w="3905"/>
        <w:gridCol w:w="60"/>
        <w:gridCol w:w="125"/>
        <w:gridCol w:w="698"/>
        <w:gridCol w:w="80"/>
        <w:gridCol w:w="60"/>
        <w:gridCol w:w="125"/>
        <w:gridCol w:w="698"/>
        <w:gridCol w:w="80"/>
        <w:gridCol w:w="60"/>
        <w:gridCol w:w="125"/>
        <w:gridCol w:w="845"/>
        <w:gridCol w:w="80"/>
        <w:gridCol w:w="60"/>
        <w:gridCol w:w="125"/>
        <w:gridCol w:w="845"/>
        <w:gridCol w:w="9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Fiscal Year Ended </w:t>
              <w:br/>
              <w:t>June 30,</w:t>
            </w:r>
          </w:p>
        </w:tc>
        <w:tc>
          <w:tcPr>
            <w:tcW w:w="9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8" w:type="dxa"/>
            <w:tcBorders/>
            <w:shd w:fill="FFFFFF" w:val="clear"/>
            <w:vAlign w:val="center"/>
          </w:tcPr>
          <w:p>
            <w:pPr>
              <w:pStyle w:val="TableContents"/>
              <w:bidi w:val="0"/>
              <w:spacing w:before="0" w:after="283"/>
              <w:jc w:val="right"/>
              <w:rPr>
                <w:sz w:val="20"/>
              </w:rPr>
            </w:pPr>
            <w:r>
              <w:rPr>
                <w:sz w:val="20"/>
              </w:rPr>
              <w:t>392,633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8" w:type="dxa"/>
            <w:tcBorders/>
            <w:shd w:fill="FFFFFF" w:val="clear"/>
            <w:vAlign w:val="center"/>
          </w:tcPr>
          <w:p>
            <w:pPr>
              <w:pStyle w:val="TableContents"/>
              <w:bidi w:val="0"/>
              <w:spacing w:before="0" w:after="283"/>
              <w:jc w:val="right"/>
              <w:rPr>
                <w:sz w:val="20"/>
              </w:rPr>
            </w:pPr>
            <w:r>
              <w:rPr>
                <w:sz w:val="20"/>
              </w:rPr>
              <w:t>373,240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1,323,291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1,344,733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389,875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441,251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1,713,166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1,785,984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908,997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944,797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216,987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goods sold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1,125,984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1,192,892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587,182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290,879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278,390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73,444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restructuring and other charges,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369,658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374,122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217,524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(31,430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186,094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(36,457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52,748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149,637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154,711</w:t>
            </w:r>
          </w:p>
        </w:tc>
        <w:tc>
          <w:tcPr>
            <w:tcW w:w="9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 diluted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OSI SYSTEMS,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BALANCE SHEETS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3470"/>
        <w:gridCol w:w="60"/>
        <w:gridCol w:w="125"/>
        <w:gridCol w:w="1190"/>
        <w:gridCol w:w="60"/>
        <w:gridCol w:w="60"/>
        <w:gridCol w:w="125"/>
        <w:gridCol w:w="1190"/>
        <w:gridCol w:w="75"/>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837,743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764,626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415,562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1,611,691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406,677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2,502,452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lines of credit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205,181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related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511,135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1,669,491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832,961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2,502,452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1440" w:type="dxa"/>
        <w:jc w:val="left"/>
        <w:tblInd w:w="0" w:type="dxa"/>
        <w:tblLayout w:type="fixed"/>
        <w:tblCellMar>
          <w:top w:w="0" w:type="dxa"/>
          <w:left w:w="0" w:type="dxa"/>
          <w:bottom w:w="0" w:type="dxa"/>
          <w:right w:w="0" w:type="dxa"/>
        </w:tblCellMar>
      </w:tblPr>
      <w:tblGrid>
        <w:gridCol w:w="2375"/>
        <w:gridCol w:w="60"/>
        <w:gridCol w:w="110"/>
        <w:gridCol w:w="695"/>
        <w:gridCol w:w="80"/>
        <w:gridCol w:w="60"/>
        <w:gridCol w:w="110"/>
        <w:gridCol w:w="770"/>
        <w:gridCol w:w="80"/>
        <w:gridCol w:w="60"/>
        <w:gridCol w:w="60"/>
        <w:gridCol w:w="695"/>
        <w:gridCol w:w="155"/>
        <w:gridCol w:w="60"/>
        <w:gridCol w:w="110"/>
        <w:gridCol w:w="545"/>
        <w:gridCol w:w="80"/>
        <w:gridCol w:w="60"/>
        <w:gridCol w:w="110"/>
        <w:gridCol w:w="545"/>
        <w:gridCol w:w="80"/>
        <w:gridCol w:w="60"/>
        <w:gridCol w:w="110"/>
        <w:gridCol w:w="695"/>
        <w:gridCol w:w="80"/>
        <w:gridCol w:w="60"/>
        <w:gridCol w:w="110"/>
        <w:gridCol w:w="770"/>
        <w:gridCol w:w="80"/>
        <w:gridCol w:w="60"/>
        <w:gridCol w:w="60"/>
        <w:gridCol w:w="695"/>
        <w:gridCol w:w="155"/>
        <w:gridCol w:w="60"/>
        <w:gridCol w:w="110"/>
        <w:gridCol w:w="545"/>
        <w:gridCol w:w="80"/>
        <w:gridCol w:w="60"/>
        <w:gridCol w:w="110"/>
        <w:gridCol w:w="545"/>
        <w:gridCol w:w="95"/>
      </w:tblGrid>
      <w:tr>
        <w:trPr/>
        <w:tc>
          <w:tcPr>
            <w:tcW w:w="11440" w:type="dxa"/>
            <w:gridSpan w:val="41"/>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NON-GAAP FINANCIAL MEASURES AND SEGMENT INFORMATION</w:t>
            </w:r>
          </w:p>
        </w:tc>
      </w:tr>
      <w:tr>
        <w:trPr/>
        <w:tc>
          <w:tcPr>
            <w:tcW w:w="11440" w:type="dxa"/>
            <w:gridSpan w:val="41"/>
            <w:tcBorders/>
            <w:vAlign w:val="center"/>
          </w:tcPr>
          <w:p>
            <w:pPr>
              <w:pStyle w:val="TableContents"/>
              <w:bidi w:val="0"/>
              <w:spacing w:before="0" w:after="283"/>
              <w:jc w:val="center"/>
              <w:rPr>
                <w:caps w:val="false"/>
                <w:smallCaps w:val="false"/>
              </w:rPr>
            </w:pPr>
            <w:r>
              <w:rPr>
                <w:caps w:val="false"/>
                <w:smallCaps w:val="false"/>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75" w:type="dxa"/>
            <w:gridSpan w:val="17"/>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0" w:type="dxa"/>
            <w:gridSpan w:val="13"/>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2026</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(Dollars in thousands, except</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Diluted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Diluted</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375" w:type="dxa"/>
            <w:tcBorders>
              <w:bottom w:val="single" w:sz="8" w:space="0" w:color="000000"/>
            </w:tcBorders>
            <w:shd w:fill="FFFFFF" w:val="clear"/>
            <w:tcMar>
              <w:bottom w:w="28" w:type="dxa"/>
            </w:tcMar>
            <w:vAlign w:val="center"/>
          </w:tcPr>
          <w:p>
            <w:pPr>
              <w:pStyle w:val="TableContents"/>
              <w:bidi w:val="0"/>
              <w:spacing w:before="0" w:after="283"/>
              <w:jc w:val="left"/>
              <w:rPr>
                <w:sz w:val="16"/>
              </w:rPr>
            </w:pPr>
            <w:r>
              <w:rPr>
                <w:sz w:val="16"/>
              </w:rPr>
              <w:t>per-share amounts)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EPS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EPS</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OSI Consolidated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504,985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484,058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73,888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 effect of non-GAAP adjustments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Discrete tax benefit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56,452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p>
        </w:tc>
      </w:tr>
      <w:tr>
        <w:trPr/>
        <w:tc>
          <w:tcPr>
            <w:tcW w:w="23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54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 and Operating Income by Segment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Security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366,971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339,733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74,712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70,647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Optoelectronics &amp; Manufacturing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112,667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117,806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Healthcare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Corporate/Elimination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OSI Consolidated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504,985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484,058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73,888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AND SEGMENT INFORMATION</w:t>
      </w:r>
    </w:p>
    <w:p>
      <w:pPr>
        <w:pStyle w:val="TextBody"/>
        <w:bidi w:val="0"/>
        <w:spacing w:before="0" w:after="283"/>
        <w:jc w:val="left"/>
        <w:rPr/>
      </w:pPr>
      <w:r>
        <w:rPr/>
        <w:t> </w:t>
      </w:r>
    </w:p>
    <w:tbl>
      <w:tblPr>
        <w:tblW w:w="11380" w:type="dxa"/>
        <w:jc w:val="left"/>
        <w:tblInd w:w="0" w:type="dxa"/>
        <w:tblLayout w:type="fixed"/>
        <w:tblCellMar>
          <w:top w:w="0" w:type="dxa"/>
          <w:left w:w="0" w:type="dxa"/>
          <w:bottom w:w="0" w:type="dxa"/>
          <w:right w:w="0" w:type="dxa"/>
        </w:tblCellMar>
      </w:tblPr>
      <w:tblGrid>
        <w:gridCol w:w="2375"/>
        <w:gridCol w:w="60"/>
        <w:gridCol w:w="110"/>
        <w:gridCol w:w="740"/>
        <w:gridCol w:w="80"/>
        <w:gridCol w:w="60"/>
        <w:gridCol w:w="110"/>
        <w:gridCol w:w="770"/>
        <w:gridCol w:w="80"/>
        <w:gridCol w:w="60"/>
        <w:gridCol w:w="60"/>
        <w:gridCol w:w="695"/>
        <w:gridCol w:w="155"/>
        <w:gridCol w:w="60"/>
        <w:gridCol w:w="110"/>
        <w:gridCol w:w="605"/>
        <w:gridCol w:w="80"/>
        <w:gridCol w:w="60"/>
        <w:gridCol w:w="110"/>
        <w:gridCol w:w="395"/>
        <w:gridCol w:w="80"/>
        <w:gridCol w:w="60"/>
        <w:gridCol w:w="110"/>
        <w:gridCol w:w="740"/>
        <w:gridCol w:w="80"/>
        <w:gridCol w:w="60"/>
        <w:gridCol w:w="110"/>
        <w:gridCol w:w="770"/>
        <w:gridCol w:w="80"/>
        <w:gridCol w:w="60"/>
        <w:gridCol w:w="60"/>
        <w:gridCol w:w="695"/>
        <w:gridCol w:w="155"/>
        <w:gridCol w:w="60"/>
        <w:gridCol w:w="110"/>
        <w:gridCol w:w="605"/>
        <w:gridCol w:w="80"/>
        <w:gridCol w:w="60"/>
        <w:gridCol w:w="110"/>
        <w:gridCol w:w="425"/>
        <w:gridCol w:w="9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Fiscal Years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(Dollars in thousands, except</w:t>
            </w:r>
          </w:p>
        </w:tc>
        <w:tc>
          <w:tcPr>
            <w:tcW w:w="60" w:type="dxa"/>
            <w:tcBorders/>
            <w:vAlign w:val="center"/>
          </w:tcPr>
          <w:p>
            <w:pPr>
              <w:pStyle w:val="TableContents"/>
              <w:bidi w:val="0"/>
              <w:spacing w:before="0" w:after="283"/>
              <w:jc w:val="left"/>
              <w:rPr/>
            </w:pPr>
            <w:r>
              <w:rPr/>
              <w:t> </w:t>
            </w:r>
          </w:p>
        </w:tc>
        <w:tc>
          <w:tcPr>
            <w:tcW w:w="8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375" w:type="dxa"/>
            <w:tcBorders>
              <w:bottom w:val="single" w:sz="8" w:space="0" w:color="000000"/>
            </w:tcBorders>
            <w:tcMar>
              <w:bottom w:w="28" w:type="dxa"/>
            </w:tcMar>
            <w:vAlign w:val="center"/>
          </w:tcPr>
          <w:p>
            <w:pPr>
              <w:pStyle w:val="TableContents"/>
              <w:bidi w:val="0"/>
              <w:spacing w:before="0" w:after="283"/>
              <w:jc w:val="left"/>
              <w:rPr>
                <w:sz w:val="16"/>
              </w:rPr>
            </w:pPr>
            <w:r>
              <w:rPr>
                <w:sz w:val="16"/>
              </w:rPr>
              <w:t>per-share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EPS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EPS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OSI Consolidated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1,713,166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149,637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1,785,984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Non-recurring retirement expense for former CEO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 effect of non-GAAP adjustments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Discrete tax benefit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240,855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160,838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178,803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7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7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42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p>
        </w:tc>
      </w:tr>
      <w:tr>
        <w:trPr/>
        <w:tc>
          <w:tcPr>
            <w:tcW w:w="23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42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 and Operating Income by Segment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Security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1,196,180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204,952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1,247,949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201,463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221,716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Optoelectronics &amp; Manufacturing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412,065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59,811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Healthcare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162,729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Corporate/Elimination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(75,511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(39,606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(40,842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u w:val="single"/>
              </w:rPr>
            </w:pPr>
            <w:r>
              <w:rPr>
                <w:rFonts w:ascii="Times New Roman;Times;Serif" w:hAnsi="Times New Roman;Times;Serif"/>
                <w:b w:val="false"/>
                <w:i w:val="false"/>
                <w:caps w:val="false"/>
                <w:smallCaps w:val="false"/>
                <w:sz w:val="16"/>
                <w:u w:val="single"/>
              </w:rPr>
              <w:t>OSI Consolidated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GAAP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1,713,166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1,785,984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restructuring and other charges,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basis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4" w:name="tm2623681d1_ex99-2.htm"/>
      <w:bookmarkStart w:id="25" w:name="kstm2623681d1_ex992"/>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OSI SYSTEMS ANNOUNCES EXPANSION OF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HAWTHORNE, CA – August 20, 2026 – OSI Systems, Inc. (NASDAQ: OSIS) today announced that its Board of Directors has approved an increase to the Company’s existing stock repurchase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authorized an additional 1,000,000 shares for repurchase under the Company’s stock repurchase program, increasing the total remaining authorization to 1,078,731. The expanded authorization reflects the Company’s continued confidence in its long-term strategy and strong free cash flow 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repurchased 564,880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execute on our capital allocation priorities by returning capital to shareholders through share repurchases,” said Alan Edrick, Executive Vice President and Chief Financial Officer. “The increase in our share repurchase authorization underscores our confidence in the strength of our business and our ability to generate robust cash flow, while maintaining flexibility to invest in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may be made from time to time in the open market or in privately negotiated transactions and block trades, in accordance with federal securities laws, including Rule 10b-18 promulgated under the Securities Exchange Act of 1934, as amended. This program does not have an expiration date. The share repurchase program may be modified, terminated or expanded by the Company at any time without prior notice. There is no guarantee as to the exact number of shares, if any, that will be purchased by the Company. The amount and timing of any purchases will depend on a number of factors, including price, trading volume, general market conditions, legal requirements,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OSI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OSI Systems designs and manufactures specialized electronic systems and components for critical applications. The Company operates through three business segments: Security, Optoelectronics and Manufacturing, and Healthcare. Its Security division delivers advanced inspection systems, turnkey screening solutions, and comprehensive support services to protect people and infrastructure. The Optoelectronics and Manufacturing segment serves as a global supplier of high-performance optoelectronic solutions and precision manufacturing services for leading OEMs. The Healthcare segment focuses on patient monitoring, diagnostic cardiology, and related services with the goal of enhancing clinical care and patient outcomes. Serving customers in over 170 countries, OSI Systems strategically positions its sales, service, R&amp;D, and manufacturing capabilities worldwide to provide fast and efficient delivery and support. For more information on OSI Systems or any of its subsidiary companies, visit www.osi-systems.com. News Filter: OSIS-G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Private Securities Litigation Reform Act of 1995, Section 27A of the Securities Act of 1933, as amended, and Section 21E of the Securities Exchange Act of 1934, as amended. Forward-looking statements relate to OSI Systems’ current expectations, beliefs, and projections concerning matters that are not historical facts. Forward-looking statements are not guarantees of future performance and involve uncertainties, risks, assumptions, and contingencies, many of which are outside OSI Systems’ control and which may cause actual results to differ materially from those described in or implied by any forward-looking statements. Undue reliance should not be placed on forward-looking statements, which are based on currently available information and speak only as of the date on which they are made. OSI Systems assumes no obligation to update any forward-looking statement made in this press release that becomes untrue because of subsequent events, new information, or otherwise, except to the extent it is required to do so in connection with its ongoing requirements under Federal securities laws. For a further discussion of factors that could cause OSI Systems’ future results to differ materially from any forward-looking statements, see the section entitled "Risk Factors" in OSI Systems’ most recently filed Annual Report on Form 10-K and other risks described therein and in documents subsequently filed by OSI Systems from time to time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OSI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OSI Systems, Inc.</w:t>
      </w:r>
      <w:r>
        <w:rPr>
          <w:rFonts w:ascii="Times New Roman;Times;Serif" w:hAnsi="Times New Roman;Times;Serif"/>
          <w:b w:val="false"/>
          <w:i w:val="false"/>
          <w:caps w:val="false"/>
          <w:smallCaps w:val="false"/>
          <w:sz w:val="20"/>
        </w:rPr>
        <w:br/>
        <w:t>Ajay Vashishat</w:t>
        <w:br/>
        <w:t>Vice President</w:t>
        <w:br/>
        <w:t>310-349-2237</w:t>
        <w:br/>
      </w:r>
      <w:r>
        <w:rPr>
          <w:rFonts w:ascii="Times New Roman;Times;Serif" w:hAnsi="Times New Roman;Times;Serif"/>
          <w:b w:val="false"/>
          <w:i w:val="false"/>
          <w:caps w:val="false"/>
          <w:smallCaps w:val="false"/>
          <w:sz w:val="20"/>
          <w:u w:val="single"/>
        </w:rPr>
        <w:t>avashishat@osi-systems.com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4293</Words>
  <Characters>24292</Characters>
  <CharactersWithSpaces>31320</CharactersWithSpaces>
  <Paragraphs>4559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