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osis-20260630x10k.htm"/>
        <w:bookmarkStart w:id="1" w:name="ksosis20260630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center"/>
        <w:rPr>
          <w:rFonts w:ascii="Times New Roman;Times;serif" w:hAnsi="Times New Roman;Times;serif"/>
          <w:b/>
          <w:sz w:val="24"/>
        </w:rPr>
      </w:pPr>
      <w:bookmarkStart w:id="2" w:name="_45694a3d_2fb0_49c0_b821_a5257986bfcc"/>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4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FORM 10-K</w:t>
      </w:r>
    </w:p>
    <w:p>
      <w:pPr>
        <w:pStyle w:val="Normal"/>
        <w:bidi w:val="0"/>
        <w:spacing w:before="0" w:after="0"/>
        <w:jc w:val="left"/>
        <w:rPr>
          <w:sz w:val="4"/>
          <w:szCs w:val="4"/>
        </w:rPr>
      </w:pPr>
      <w:r>
        <w:rPr>
          <w:sz w:val="4"/>
          <w:szCs w:val="4"/>
        </w:rPr>
      </w:r>
      <w:bookmarkStart w:id="3" w:name="Tc_5s59P70OSUqh8b2B6bK2gw_5_1"/>
      <w:bookmarkStart w:id="4" w:name="Tc_rUErmZ2EokaSM-6AyteD3w_4_1"/>
      <w:bookmarkStart w:id="5" w:name="Tc_Mx93QJtLxUGvpq4BFeRGDw_3_0"/>
      <w:bookmarkStart w:id="6" w:name="Tc_Ci2KLPTjOUKwQhTarCJiHA_2_1"/>
      <w:bookmarkStart w:id="7" w:name="Tc_R6_w5WS7w0eE57Sg4fggCQ_1_1"/>
      <w:bookmarkStart w:id="8" w:name="Tc_wtLizq2KvkC405gQ-o-O8g_0_0"/>
      <w:bookmarkStart w:id="9" w:name="_69c90bf3_aae4_4e4d_9d2b_a63366a7538e"/>
      <w:bookmarkStart w:id="10" w:name="Tc_5s59P70OSUqh8b2B6bK2gw_5_1"/>
      <w:bookmarkStart w:id="11" w:name="Tc_rUErmZ2EokaSM-6AyteD3w_4_1"/>
      <w:bookmarkStart w:id="12" w:name="Tc_Mx93QJtLxUGvpq4BFeRGDw_3_0"/>
      <w:bookmarkStart w:id="13" w:name="Tc_Ci2KLPTjOUKwQhTarCJiHA_2_1"/>
      <w:bookmarkStart w:id="14" w:name="Tc_R6_w5WS7w0eE57Sg4fggCQ_1_1"/>
      <w:bookmarkStart w:id="15" w:name="Tc_wtLizq2KvkC405gQ-o-O8g_0_0"/>
      <w:bookmarkStart w:id="16" w:name="_69c90bf3_aae4_4e4d_9d2b_a63366a7538e"/>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10205" w:type="dxa"/>
            <w:gridSpan w:val="2"/>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(Mark One)</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40"/>
              <w:ind w:left="0" w:right="0" w:hanging="0"/>
              <w:jc w:val="left"/>
              <w:rPr>
                <w:rFonts w:ascii="Times New Roman;Times;serif" w:hAnsi="Times New Roman;Times;serif"/>
                <w:b/>
                <w:sz w:val="22"/>
              </w:rPr>
            </w:pPr>
            <w:r>
              <w:rPr>
                <w:rFonts w:ascii="Times New Roman;Times;serif" w:hAnsi="Times New Roman;Times;serif"/>
                <w:b/>
                <w:sz w:val="22"/>
              </w:rPr>
              <w:t>ANNUAL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For the fiscal year ended June 30, 2026</w:t>
            </w:r>
          </w:p>
        </w:tc>
      </w:tr>
      <w:tr>
        <w:trPr/>
        <w:tc>
          <w:tcPr>
            <w:tcW w:w="10205" w:type="dxa"/>
            <w:gridSpan w:val="2"/>
            <w:tcBorders/>
            <w:vAlign w:val="center"/>
          </w:tcPr>
          <w:p>
            <w:pPr>
              <w:pStyle w:val="TableContents"/>
              <w:bidi w:val="0"/>
              <w:spacing w:before="0" w:after="4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4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b/>
                <w:sz w:val="14"/>
              </w:rPr>
              <w:t xml:space="preserve">For the transition period from </w:t>
            </w:r>
            <w:r>
              <w:rPr>
                <w:rFonts w:ascii="Times New Roman;Times;serif" w:hAnsi="Times New Roman;Times;serif"/>
                <w:sz w:val="14"/>
              </w:rPr>
              <w:t xml:space="preserve">       </w:t>
            </w:r>
            <w:r>
              <w:rPr>
                <w:rFonts w:ascii="Times New Roman;Times;serif" w:hAnsi="Times New Roman;Times;serif"/>
                <w:b/>
                <w:sz w:val="14"/>
              </w:rPr>
              <w:t xml:space="preserve">to </w:t>
            </w:r>
            <w:r>
              <w:rPr>
                <w:rFonts w:ascii="Times New Roman;Times;serif" w:hAnsi="Times New Roman;Times;serif"/>
                <w:sz w:val="14"/>
              </w:rPr>
              <w:t xml:space="preserve">       </w:t>
            </w:r>
          </w:p>
        </w:tc>
      </w:tr>
    </w:tbl>
    <w:p>
      <w:pPr>
        <w:pStyle w:val="TextBody"/>
        <w:bidi w:val="0"/>
        <w:spacing w:before="0" w:after="0"/>
        <w:ind w:left="0" w:right="0" w:hanging="0"/>
        <w:jc w:val="left"/>
        <w:rPr/>
      </w:pPr>
      <w:r>
        <w:rPr/>
        <w:t>​</w:t>
      </w:r>
    </w:p>
    <w:p>
      <w:pPr>
        <w:pStyle w:val="TextBody"/>
        <w:bidi w:val="0"/>
        <w:spacing w:before="40" w:after="20"/>
        <w:ind w:left="0" w:right="0" w:hanging="0"/>
        <w:jc w:val="center"/>
        <w:rPr>
          <w:rFonts w:ascii="Times New Roman;Times;serif" w:hAnsi="Times New Roman;Times;serif"/>
          <w:b/>
          <w:sz w:val="14"/>
        </w:rPr>
      </w:pPr>
      <w:r>
        <w:rPr>
          <w:rFonts w:ascii="Times New Roman;Times;serif" w:hAnsi="Times New Roman;Times;serif"/>
          <w:b/>
          <w:sz w:val="14"/>
        </w:rPr>
        <w:t>Commission File Number 000-23125</w:t>
      </w:r>
    </w:p>
    <w:p>
      <w:pPr>
        <w:pStyle w:val="TextBody"/>
        <w:bidi w:val="0"/>
        <w:spacing w:before="0" w:after="0"/>
        <w:ind w:left="0" w:right="0" w:hanging="0"/>
        <w:jc w:val="center"/>
        <w:rPr/>
      </w:pPr>
      <w:r>
        <w:rPr/>
        <w:drawing>
          <wp:inline distT="0" distB="0" distL="0" distR="0">
            <wp:extent cx="355854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58540" cy="4191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OSI SYSTEMS, INC.</w:t>
      </w:r>
    </w:p>
    <w:p>
      <w:pPr>
        <w:pStyle w:val="TextBody"/>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(Exact name of registrant as specified in its charter)</w:t>
      </w:r>
    </w:p>
    <w:tbl>
      <w:tblPr>
        <w:tblW w:w="5087" w:type="dxa"/>
        <w:jc w:val="left"/>
        <w:tblInd w:w="0" w:type="dxa"/>
        <w:tblLayout w:type="fixed"/>
        <w:tblCellMar>
          <w:top w:w="0" w:type="dxa"/>
          <w:left w:w="0" w:type="dxa"/>
          <w:bottom w:w="0" w:type="dxa"/>
          <w:right w:w="0" w:type="dxa"/>
        </w:tblCellMar>
      </w:tblPr>
      <w:tblGrid>
        <w:gridCol w:w="3601"/>
        <w:gridCol w:w="1486"/>
      </w:tblGrid>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br/>
              <w:t>(State or other jurisdiction</w:t>
              <w:br/>
              <w:t>of 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33-0238801</w:t>
              <w:br/>
              <w:t>(I.R.S. Employer</w:t>
              <w:br/>
              <w:t>Identification No.)</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12525 Chadron Avenue, Hawthorne, California</w:t>
              <w:b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90250</w:t>
              <w:br/>
              <w:t>(Zip Code)</w:t>
            </w:r>
          </w:p>
        </w:tc>
      </w:tr>
    </w:tbl>
    <w:p>
      <w:pPr>
        <w:pStyle w:val="TextBody"/>
        <w:bidi w:val="0"/>
        <w:spacing w:before="40" w:after="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 (310) 978-0516</w:t>
      </w:r>
    </w:p>
    <w:p>
      <w:pPr>
        <w:pStyle w:val="TextBody"/>
        <w:bidi w:val="0"/>
        <w:spacing w:before="0" w:after="0"/>
        <w:ind w:left="0" w:right="0" w:hanging="0"/>
        <w:jc w:val="center"/>
        <w:rPr/>
      </w:pPr>
      <w:r>
        <w:rPr/>
        <w:t>​</w:t>
      </w:r>
    </w:p>
    <w:p>
      <w:pPr>
        <w:pStyle w:val="TextBody"/>
        <w:bidi w:val="0"/>
        <w:spacing w:before="0" w:after="4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12(b) of the Act:</w:t>
      </w:r>
    </w:p>
    <w:p>
      <w:pPr>
        <w:pStyle w:val="Normal"/>
        <w:bidi w:val="0"/>
        <w:spacing w:before="0" w:after="0"/>
        <w:jc w:val="left"/>
        <w:rPr>
          <w:sz w:val="4"/>
          <w:szCs w:val="4"/>
        </w:rPr>
      </w:pPr>
      <w:r>
        <w:rPr>
          <w:sz w:val="4"/>
          <w:szCs w:val="4"/>
        </w:rPr>
      </w:r>
      <w:bookmarkStart w:id="17" w:name="Tc_-QyvV1EEnkCxVV6oxGBXeQ_1_4"/>
      <w:bookmarkStart w:id="18" w:name="Tc_e627-YObzU-Bh4BDZmNpRQ_1_2"/>
      <w:bookmarkStart w:id="19" w:name="Tc_6hwWbWylHUe2QGYX_DDFpQ_1_0"/>
      <w:bookmarkStart w:id="20" w:name="_d8a3c348_78aa_4ca7_aeee_aecab1c3ff8c"/>
      <w:bookmarkStart w:id="21" w:name="Tc_-QyvV1EEnkCxVV6oxGBXeQ_1_4"/>
      <w:bookmarkStart w:id="22" w:name="Tc_e627-YObzU-Bh4BDZmNpRQ_1_2"/>
      <w:bookmarkStart w:id="23" w:name="Tc_6hwWbWylHUe2QGYX_DDFpQ_1_0"/>
      <w:bookmarkStart w:id="24" w:name="_d8a3c348_78aa_4ca7_aeee_aecab1c3ff8c"/>
      <w:bookmarkEnd w:id="21"/>
      <w:bookmarkEnd w:id="22"/>
      <w:bookmarkEnd w:id="23"/>
      <w:bookmarkEnd w:id="24"/>
    </w:p>
    <w:tbl>
      <w:tblPr>
        <w:tblW w:w="6680" w:type="dxa"/>
        <w:jc w:val="left"/>
        <w:tblInd w:w="0" w:type="dxa"/>
        <w:tblLayout w:type="fixed"/>
        <w:tblCellMar>
          <w:top w:w="0" w:type="dxa"/>
          <w:left w:w="0" w:type="dxa"/>
          <w:bottom w:w="0" w:type="dxa"/>
          <w:right w:w="0" w:type="dxa"/>
        </w:tblCellMar>
      </w:tblPr>
      <w:tblGrid>
        <w:gridCol w:w="2071"/>
        <w:gridCol w:w="346"/>
        <w:gridCol w:w="1216"/>
        <w:gridCol w:w="346"/>
        <w:gridCol w:w="2701"/>
      </w:tblGrid>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207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left"/>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346" w:type="dxa"/>
            <w:tcBorders/>
            <w:vAlign w:val="center"/>
          </w:tcPr>
          <w:p>
            <w:pPr>
              <w:pStyle w:val="TableContents"/>
              <w:bidi w:val="0"/>
              <w:spacing w:before="0" w:after="0"/>
              <w:ind w:left="0" w:right="0" w:hanging="0"/>
              <w:jc w:val="left"/>
              <w:rPr/>
            </w:pPr>
            <w:r>
              <w:rPr/>
              <w:t>  ​ ​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2071"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 $0.001 par value</w:t>
            </w:r>
          </w:p>
        </w:tc>
        <w:tc>
          <w:tcPr>
            <w:tcW w:w="346" w:type="dxa"/>
            <w:tcBorders/>
            <w:vAlign w:val="center"/>
          </w:tcPr>
          <w:p>
            <w:pPr>
              <w:pStyle w:val="TableContents"/>
              <w:bidi w:val="0"/>
              <w:spacing w:before="0" w:after="0"/>
              <w:ind w:left="0" w:right="0" w:hanging="0"/>
              <w:jc w:val="left"/>
              <w:rPr/>
            </w:pPr>
            <w:r>
              <w:rPr/>
              <w:t>​</w:t>
            </w:r>
          </w:p>
        </w:tc>
        <w:tc>
          <w:tcPr>
            <w:tcW w:w="12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OSIS</w:t>
            </w:r>
          </w:p>
        </w:tc>
        <w:tc>
          <w:tcPr>
            <w:tcW w:w="346" w:type="dxa"/>
            <w:tcBorders/>
            <w:vAlign w:val="center"/>
          </w:tcPr>
          <w:p>
            <w:pPr>
              <w:pStyle w:val="TableContents"/>
              <w:bidi w:val="0"/>
              <w:spacing w:before="0" w:after="0"/>
              <w:ind w:left="0" w:right="0" w:hanging="0"/>
              <w:jc w:val="left"/>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 Nasdaq Global Select Market</w:t>
            </w:r>
          </w:p>
        </w:tc>
      </w:tr>
    </w:tbl>
    <w:p>
      <w:pPr>
        <w:pStyle w:val="TextBody"/>
        <w:bidi w:val="0"/>
        <w:spacing w:before="0" w:after="0"/>
        <w:ind w:left="0" w:right="0" w:hanging="0"/>
        <w:jc w:val="left"/>
        <w:rPr/>
      </w:pPr>
      <w:r>
        <w:rPr/>
        <w:t>​</w:t>
      </w:r>
    </w:p>
    <w:p>
      <w:pPr>
        <w:pStyle w:val="TextBody"/>
        <w:bidi w:val="0"/>
        <w:spacing w:before="0" w:after="4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12(g) of the Act: None</w:t>
      </w:r>
    </w:p>
    <w:p>
      <w:pPr>
        <w:pStyle w:val="TextBody"/>
        <w:bidi w:val="0"/>
        <w:spacing w:before="0" w:after="40"/>
        <w:ind w:left="0" w:right="0" w:firstLine="720"/>
        <w:jc w:val="both"/>
        <w:rPr>
          <w:rFonts w:ascii="Times New Roman;Times;serif" w:hAnsi="Times New Roman;Times;serif"/>
          <w:sz w:val="24"/>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4"/>
        </w:rPr>
        <w:t xml:space="preserve">☒ </w:t>
      </w:r>
      <w:r>
        <w:rPr>
          <w:rFonts w:ascii="Times New Roman;Times;serif" w:hAnsi="Times New Roman;Times;serif"/>
          <w:sz w:val="14"/>
        </w:rPr>
        <w:t>No </w:t>
      </w:r>
      <w:r>
        <w:rPr>
          <w:rFonts w:ascii="Times New Roman;Times;serif" w:hAnsi="Times New Roman;Times;serif"/>
          <w:sz w:val="24"/>
        </w:rPr>
        <w:t>☐</w:t>
      </w:r>
    </w:p>
    <w:p>
      <w:pPr>
        <w:pStyle w:val="TextBody"/>
        <w:bidi w:val="0"/>
        <w:spacing w:before="0" w:after="40"/>
        <w:ind w:left="0" w:right="0" w:firstLine="720"/>
        <w:jc w:val="both"/>
        <w:rPr>
          <w:rFonts w:ascii="Times New Roman;Times;serif" w:hAnsi="Times New Roman;Times;serif"/>
          <w:sz w:val="24"/>
        </w:rPr>
      </w:pPr>
      <w:r>
        <w:rPr>
          <w:rFonts w:ascii="Times New Roman;Times;serif" w:hAnsi="Times New Roman;Times;serif"/>
          <w:sz w:val="14"/>
        </w:rPr>
        <w:t>Indicate by check mark if the registrant is not required to file reports pursuant to Section 13 or Section 15(d) of the Act. Yes: </w:t>
      </w:r>
      <w:r>
        <w:rPr>
          <w:rFonts w:ascii="Times New Roman;Times;serif" w:hAnsi="Times New Roman;Times;serif"/>
          <w:sz w:val="24"/>
        </w:rPr>
        <w:t xml:space="preserve">☐ </w:t>
      </w:r>
      <w:r>
        <w:rPr>
          <w:rFonts w:ascii="Times New Roman;Times;serif" w:hAnsi="Times New Roman;Times;serif"/>
          <w:sz w:val="14"/>
        </w:rPr>
        <w:t>No</w:t>
      </w:r>
      <w:r>
        <w:rPr>
          <w:rFonts w:ascii="Times New Roman;Times;serif" w:hAnsi="Times New Roman;Times;serif"/>
          <w:sz w:val="24"/>
        </w:rPr>
        <w:t> ☒</w:t>
      </w:r>
    </w:p>
    <w:p>
      <w:pPr>
        <w:pStyle w:val="TextBody"/>
        <w:bidi w:val="0"/>
        <w:spacing w:before="0" w:after="40"/>
        <w:ind w:left="0" w:right="0" w:firstLine="720"/>
        <w:jc w:val="both"/>
        <w:rPr>
          <w:rFonts w:ascii="Times New Roman;Times;serif" w:hAnsi="Times New Roman;Times;serif"/>
          <w:sz w:val="24"/>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4"/>
        </w:rPr>
        <w:t xml:space="preserve">☒ </w:t>
      </w:r>
      <w:r>
        <w:rPr>
          <w:rFonts w:ascii="Times New Roman;Times;serif" w:hAnsi="Times New Roman;Times;serif"/>
          <w:sz w:val="14"/>
        </w:rPr>
        <w:t>No </w:t>
      </w:r>
      <w:r>
        <w:rPr>
          <w:rFonts w:ascii="Times New Roman;Times;serif" w:hAnsi="Times New Roman;Times;serif"/>
          <w:sz w:val="24"/>
        </w:rPr>
        <w:t>☐</w:t>
      </w:r>
    </w:p>
    <w:p>
      <w:pPr>
        <w:pStyle w:val="TextBody"/>
        <w:bidi w:val="0"/>
        <w:spacing w:before="0" w:after="80"/>
        <w:ind w:left="0" w:right="0" w:firstLine="720"/>
        <w:jc w:val="both"/>
        <w:rPr>
          <w:rFonts w:ascii="Times New Roman;Times;serif" w:hAnsi="Times New Roman;Times;serif"/>
          <w:sz w:val="24"/>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Times;serif" w:hAnsi="Times New Roman;Times;serif"/>
          <w:sz w:val="24"/>
        </w:rPr>
        <w:t xml:space="preserve">☒ </w:t>
      </w:r>
      <w:r>
        <w:rPr>
          <w:rFonts w:ascii="Times New Roman;Times;serif" w:hAnsi="Times New Roman;Times;serif"/>
          <w:sz w:val="14"/>
        </w:rPr>
        <w:t>No </w:t>
      </w:r>
      <w:r>
        <w:rPr>
          <w:rFonts w:ascii="Times New Roman;Times;serif" w:hAnsi="Times New Roman;Times;serif"/>
          <w:sz w:val="24"/>
        </w:rPr>
        <w:t>☐</w:t>
      </w:r>
    </w:p>
    <w:p>
      <w:pPr>
        <w:pStyle w:val="TextBody"/>
        <w:bidi w:val="0"/>
        <w:spacing w:before="0" w:after="60"/>
        <w:ind w:left="0" w:right="0" w:firstLine="72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105" w:type="dxa"/>
        <w:jc w:val="left"/>
        <w:tblInd w:w="0" w:type="dxa"/>
        <w:tblLayout w:type="fixed"/>
        <w:tblCellMar>
          <w:top w:w="0" w:type="dxa"/>
          <w:left w:w="0" w:type="dxa"/>
          <w:bottom w:w="0" w:type="dxa"/>
          <w:right w:w="0" w:type="dxa"/>
        </w:tblCellMar>
      </w:tblPr>
      <w:tblGrid>
        <w:gridCol w:w="1636"/>
        <w:gridCol w:w="1186"/>
        <w:gridCol w:w="1441"/>
        <w:gridCol w:w="1906"/>
        <w:gridCol w:w="1936"/>
      </w:tblGrid>
      <w:tr>
        <w:trPr/>
        <w:tc>
          <w:tcPr>
            <w:tcW w:w="16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14"/>
              </w:rPr>
              <w:t>Large accelerated filer</w:t>
            </w:r>
            <w:r>
              <w:rPr>
                <w:rFonts w:ascii="Times New Roman;Times;serif" w:hAnsi="Times New Roman;Times;serif"/>
                <w:sz w:val="24"/>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190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14"/>
              </w:rPr>
              <w:t>Smaller reporting company </w:t>
            </w:r>
            <w:r>
              <w:rPr>
                <w:rFonts w:ascii="Times New Roman;Times;serif" w:hAnsi="Times New Roman;Times;serif"/>
                <w:sz w:val="24"/>
              </w:rPr>
              <w:t>☐</w:t>
            </w:r>
          </w:p>
        </w:tc>
        <w:tc>
          <w:tcPr>
            <w:tcW w:w="1936" w:type="dxa"/>
            <w:tcBorders/>
            <w:vAlign w:val="center"/>
          </w:tcPr>
          <w:p>
            <w:pPr>
              <w:pStyle w:val="TableContents"/>
              <w:bidi w:val="0"/>
              <w:spacing w:before="0" w:after="0"/>
              <w:ind w:left="360" w:right="0" w:hanging="0"/>
              <w:jc w:val="left"/>
              <w:rPr>
                <w:rFonts w:ascii="Times New Roman;Times;serif" w:hAnsi="Times New Roman;Times;serif"/>
                <w:sz w:val="24"/>
              </w:rPr>
            </w:pPr>
            <w:r>
              <w:rPr>
                <w:rFonts w:ascii="Times New Roman;Times;serif" w:hAnsi="Times New Roman;Times;serif"/>
                <w:sz w:val="14"/>
              </w:rPr>
              <w:t xml:space="preserve">Emerging growth company </w:t>
            </w:r>
            <w:r>
              <w:rPr>
                <w:rFonts w:ascii="Times New Roman;Times;serif" w:hAnsi="Times New Roman;Times;serif"/>
                <w:sz w:val="24"/>
              </w:rPr>
              <w:t>☐</w:t>
            </w:r>
          </w:p>
        </w:tc>
      </w:tr>
    </w:tbl>
    <w:p>
      <w:pPr>
        <w:pStyle w:val="TextBody"/>
        <w:bidi w:val="0"/>
        <w:spacing w:before="0" w:after="0"/>
        <w:ind w:left="0" w:right="0" w:firstLine="720"/>
        <w:jc w:val="both"/>
        <w:rPr/>
      </w:pPr>
      <w:r>
        <w:rPr/>
        <w:t>​</w:t>
      </w:r>
    </w:p>
    <w:p>
      <w:pPr>
        <w:pStyle w:val="TextBody"/>
        <w:bidi w:val="0"/>
        <w:spacing w:before="0" w:after="40"/>
        <w:ind w:left="0" w:right="0" w:firstLine="72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0"/>
        <w:ind w:left="0" w:right="0" w:firstLine="720"/>
        <w:jc w:val="both"/>
        <w:rPr>
          <w:rFonts w:ascii="Times New Roman;Times;serif" w:hAnsi="Times New Roman;Times;serif"/>
          <w:sz w:val="24"/>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4"/>
        </w:rPr>
        <w:t>☒</w:t>
      </w:r>
    </w:p>
    <w:p>
      <w:pPr>
        <w:pStyle w:val="TextBody"/>
        <w:bidi w:val="0"/>
        <w:spacing w:before="0" w:after="40"/>
        <w:ind w:left="0" w:right="0" w:firstLine="720"/>
        <w:jc w:val="both"/>
        <w:rPr>
          <w:rFonts w:ascii="Times New Roman;Times;serif" w:hAnsi="Times New Roman;Times;serif"/>
          <w:sz w:val="24"/>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4"/>
        </w:rPr>
        <w:t>☐</w:t>
      </w:r>
    </w:p>
    <w:p>
      <w:pPr>
        <w:pStyle w:val="TextBody"/>
        <w:bidi w:val="0"/>
        <w:spacing w:before="0" w:after="40"/>
        <w:ind w:left="0" w:right="0" w:firstLine="72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40"/>
        <w:ind w:left="0" w:right="0" w:firstLine="720"/>
        <w:jc w:val="both"/>
        <w:rPr>
          <w:rFonts w:ascii="Times New Roman;Times;serif" w:hAnsi="Times New Roman;Times;serif"/>
          <w:sz w:val="24"/>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4"/>
        </w:rPr>
        <w:t xml:space="preserve">☐ </w:t>
      </w:r>
      <w:r>
        <w:rPr>
          <w:rFonts w:ascii="Times New Roman;Times;serif" w:hAnsi="Times New Roman;Times;serif"/>
          <w:sz w:val="14"/>
        </w:rPr>
        <w:t>No </w:t>
      </w:r>
      <w:r>
        <w:rPr>
          <w:rFonts w:ascii="Times New Roman;Times;serif" w:hAnsi="Times New Roman;Times;serif"/>
          <w:sz w:val="24"/>
        </w:rPr>
        <w:t>☒</w:t>
      </w:r>
    </w:p>
    <w:p>
      <w:pPr>
        <w:pStyle w:val="TextBody"/>
        <w:bidi w:val="0"/>
        <w:spacing w:before="0" w:after="60"/>
        <w:ind w:left="0" w:right="0" w:firstLine="720"/>
        <w:jc w:val="both"/>
        <w:rPr>
          <w:rFonts w:ascii="Times New Roman;Times;serif" w:hAnsi="Times New Roman;Times;serif"/>
          <w:sz w:val="14"/>
        </w:rPr>
      </w:pPr>
      <w:r>
        <w:rPr>
          <w:rFonts w:ascii="Times New Roman;Times;serif" w:hAnsi="Times New Roman;Times;serif"/>
          <w:sz w:val="14"/>
        </w:rPr>
        <w:t>The aggregate market value of the registrant’s voting and non-voting Common Stock held by non-affiliates computed by reference to the price at which the Common Stock was last sold on December 31, 2025, the last business day of the registrant’s most recently completed second fiscal quarter, was $4,020,393,452. For purposes of the foregoing calculation only, executive officers and directors of the registrant have been deemed to be affiliates of the registrant. The number of shares outstanding of the registrant’s Common Stock as of August 17, 2026 was 15,941,968.</w:t>
      </w:r>
    </w:p>
    <w:p>
      <w:pPr>
        <w:pStyle w:val="TextBody"/>
        <w:bidi w:val="0"/>
        <w:spacing w:before="0" w:after="60"/>
        <w:ind w:left="0" w:right="0" w:hanging="0"/>
        <w:jc w:val="both"/>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40"/>
        <w:ind w:left="0" w:right="0" w:firstLine="720"/>
        <w:jc w:val="both"/>
        <w:rPr>
          <w:rFonts w:ascii="Times New Roman;Times;serif" w:hAnsi="Times New Roman;Times;serif"/>
          <w:sz w:val="14"/>
        </w:rPr>
      </w:pPr>
      <w:r>
        <w:rPr>
          <w:rFonts w:ascii="Times New Roman;Times;serif" w:hAnsi="Times New Roman;Times;serif"/>
          <w:sz w:val="14"/>
        </w:rPr>
        <w:t>Portions of the definitive proxy statement relating to the 2026 annual meeting of stockholders are incorporated by reference into Part III. The proxy statement will be filed by the registrant with the Securities and Exchange Commission not later than 120 days after the end of the registrant’s fiscal year.</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5" w:name="_61cabd76_eee6_4757_8dc0_c0dd96d7671b"/>
      <w:bookmarkStart w:id="26" w:name="TOC"/>
      <w:bookmarkEnd w:id="25"/>
      <w:bookmarkEnd w:id="26"/>
      <w:r>
        <w:rPr>
          <w:rFonts w:ascii="Times New Roman;Times;serif" w:hAnsi="Times New Roman;Times;serif"/>
          <w:b/>
          <w:sz w:val="20"/>
        </w:rPr>
        <w:t>TABLE OF CONTENTS</w:t>
      </w:r>
    </w:p>
    <w:tbl>
      <w:tblPr>
        <w:tblW w:w="10205" w:type="dxa"/>
        <w:jc w:val="left"/>
        <w:tblInd w:w="0" w:type="dxa"/>
        <w:tblLayout w:type="fixed"/>
        <w:tblCellMar>
          <w:top w:w="0" w:type="dxa"/>
          <w:left w:w="0" w:type="dxa"/>
          <w:bottom w:w="28" w:type="dxa"/>
          <w:right w:w="0" w:type="dxa"/>
        </w:tblCellMar>
      </w:tblPr>
      <w:tblGrid>
        <w:gridCol w:w="824"/>
        <w:gridCol w:w="346"/>
        <w:gridCol w:w="8117"/>
        <w:gridCol w:w="346"/>
        <w:gridCol w:w="572"/>
      </w:tblGrid>
      <w:tr>
        <w:trPr/>
        <w:tc>
          <w:tcPr>
            <w:tcW w:w="82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w:t>
            </w:r>
          </w:p>
        </w:tc>
        <w:tc>
          <w:tcPr>
            <w:tcW w:w="346" w:type="dxa"/>
            <w:tcBorders/>
            <w:tcMar>
              <w:bottom w:w="0" w:type="dxa"/>
            </w:tcMar>
            <w:vAlign w:val="center"/>
          </w:tcPr>
          <w:p>
            <w:pPr>
              <w:pStyle w:val="TableContents"/>
              <w:bidi w:val="0"/>
              <w:spacing w:before="0" w:after="0"/>
              <w:ind w:left="0" w:right="0" w:hanging="0"/>
              <w:jc w:val="both"/>
              <w:rPr/>
            </w:pPr>
            <w:r>
              <w:rPr/>
              <w:t>  ​ ​ ​</w:t>
            </w:r>
          </w:p>
        </w:tc>
        <w:tc>
          <w:tcPr>
            <w:tcW w:w="811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57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24"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pPr>
            <w:hyperlink w:anchor="PARTI_335323">
              <w:r>
                <w:rPr>
                  <w:rStyle w:val="InternetLink"/>
                  <w:rFonts w:ascii="Times New Roman;Times;serif" w:hAnsi="Times New Roman;Times;serif"/>
                  <w:b w:val="false"/>
                  <w:i w:val="false"/>
                  <w:caps w:val="false"/>
                  <w:smallCaps w:val="false"/>
                  <w:sz w:val="20"/>
                </w:rPr>
                <w:t>PART I</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72"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_396552">
              <w:r>
                <w:rPr>
                  <w:rStyle w:val="InternetLink"/>
                  <w:rFonts w:ascii="Times New Roman;Times;serif" w:hAnsi="Times New Roman;Times;serif"/>
                  <w:b w:val="false"/>
                  <w:i w:val="false"/>
                  <w:caps w:val="false"/>
                  <w:smallCaps w:val="false"/>
                  <w:sz w:val="20"/>
                </w:rPr>
                <w:t>Item 1.</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BUSINESS_398763">
              <w:r>
                <w:rPr>
                  <w:rStyle w:val="InternetLink"/>
                  <w:rFonts w:ascii="Times New Roman;Times;serif" w:hAnsi="Times New Roman;Times;serif"/>
                  <w:b w:val="false"/>
                  <w:i w:val="false"/>
                  <w:caps w:val="false"/>
                  <w:smallCaps w:val="false"/>
                  <w:sz w:val="20"/>
                </w:rPr>
                <w:t>Business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ARISKFACTORS_771718">
              <w:r>
                <w:rPr>
                  <w:rStyle w:val="InternetLink"/>
                  <w:rFonts w:ascii="Times New Roman;Times;serif" w:hAnsi="Times New Roman;Times;serif"/>
                  <w:b w:val="false"/>
                  <w:i w:val="false"/>
                  <w:caps w:val="false"/>
                  <w:smallCaps w:val="false"/>
                  <w:sz w:val="20"/>
                </w:rPr>
                <w:t>Item 1A.</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ARISKFACTORS_771718">
              <w:r>
                <w:rPr>
                  <w:rStyle w:val="InternetLink"/>
                  <w:rFonts w:ascii="Times New Roman;Times;serif" w:hAnsi="Times New Roman;Times;serif"/>
                  <w:b w:val="false"/>
                  <w:i w:val="false"/>
                  <w:caps w:val="false"/>
                  <w:smallCaps w:val="false"/>
                  <w:sz w:val="20"/>
                </w:rPr>
                <w:t>Risk Factors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BUNRESOLVEDSTAFFCOMMENTS_279140">
              <w:r>
                <w:rPr>
                  <w:rStyle w:val="InternetLink"/>
                  <w:rFonts w:ascii="Times New Roman;Times;serif" w:hAnsi="Times New Roman;Times;serif"/>
                  <w:b w:val="false"/>
                  <w:i w:val="false"/>
                  <w:caps w:val="false"/>
                  <w:smallCaps w:val="false"/>
                  <w:sz w:val="20"/>
                </w:rPr>
                <w:t>Item 1B.</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BUNRESOLVEDSTAFFCOMMENTS_279140">
              <w:r>
                <w:rPr>
                  <w:rStyle w:val="InternetLink"/>
                  <w:rFonts w:ascii="Times New Roman;Times;serif" w:hAnsi="Times New Roman;Times;serif"/>
                  <w:b w:val="false"/>
                  <w:i w:val="false"/>
                  <w:caps w:val="false"/>
                  <w:smallCaps w:val="false"/>
                  <w:sz w:val="20"/>
                </w:rPr>
                <w:t>Unresolved Staff Comments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CCYBERSECURITY_493663">
              <w:r>
                <w:rPr>
                  <w:rStyle w:val="InternetLink"/>
                  <w:rFonts w:ascii="Times New Roman;Times;serif" w:hAnsi="Times New Roman;Times;serif"/>
                  <w:b w:val="false"/>
                  <w:i w:val="false"/>
                  <w:caps w:val="false"/>
                  <w:smallCaps w:val="false"/>
                  <w:sz w:val="20"/>
                </w:rPr>
                <w:t>Item 1C.</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CCYBERSECURITY_493663">
              <w:r>
                <w:rPr>
                  <w:rStyle w:val="InternetLink"/>
                  <w:rFonts w:ascii="Times New Roman;Times;serif" w:hAnsi="Times New Roman;Times;serif"/>
                  <w:b w:val="false"/>
                  <w:i w:val="false"/>
                  <w:caps w:val="false"/>
                  <w:smallCaps w:val="false"/>
                  <w:sz w:val="20"/>
                </w:rPr>
                <w:t>Cybersecurity</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2PROPERTIES_258414">
              <w:r>
                <w:rPr>
                  <w:rStyle w:val="InternetLink"/>
                  <w:rFonts w:ascii="Times New Roman;Times;serif" w:hAnsi="Times New Roman;Times;serif"/>
                  <w:b w:val="false"/>
                  <w:i w:val="false"/>
                  <w:caps w:val="false"/>
                  <w:smallCaps w:val="false"/>
                  <w:sz w:val="20"/>
                </w:rPr>
                <w:t>Item 2.</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2PROPERTIES_258414">
              <w:r>
                <w:rPr>
                  <w:rStyle w:val="InternetLink"/>
                  <w:rFonts w:ascii="Times New Roman;Times;serif" w:hAnsi="Times New Roman;Times;serif"/>
                  <w:b w:val="false"/>
                  <w:i w:val="false"/>
                  <w:caps w:val="false"/>
                  <w:smallCaps w:val="false"/>
                  <w:sz w:val="20"/>
                </w:rPr>
                <w:t>Properties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3LEGALPROCEEDINGS_63939">
              <w:r>
                <w:rPr>
                  <w:rStyle w:val="InternetLink"/>
                  <w:rFonts w:ascii="Times New Roman;Times;serif" w:hAnsi="Times New Roman;Times;serif"/>
                  <w:b w:val="false"/>
                  <w:i w:val="false"/>
                  <w:caps w:val="false"/>
                  <w:smallCaps w:val="false"/>
                  <w:sz w:val="20"/>
                </w:rPr>
                <w:t>Item 3.</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3LEGALPROCEEDINGS_63939">
              <w:r>
                <w:rPr>
                  <w:rStyle w:val="InternetLink"/>
                  <w:rFonts w:ascii="Times New Roman;Times;serif" w:hAnsi="Times New Roman;Times;serif"/>
                  <w:b w:val="false"/>
                  <w:i w:val="false"/>
                  <w:caps w:val="false"/>
                  <w:smallCaps w:val="false"/>
                  <w:sz w:val="20"/>
                </w:rPr>
                <w:t>Legal Proceedings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4MINESAFETYDISCLOSURES_54316">
              <w:r>
                <w:rPr>
                  <w:rStyle w:val="InternetLink"/>
                  <w:rFonts w:ascii="Times New Roman;Times;serif" w:hAnsi="Times New Roman;Times;serif"/>
                  <w:b w:val="false"/>
                  <w:i w:val="false"/>
                  <w:caps w:val="false"/>
                  <w:smallCaps w:val="false"/>
                  <w:sz w:val="20"/>
                </w:rPr>
                <w:t>Item 4.</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4MINESAFETYDISCLOSURES_54316">
              <w:r>
                <w:rPr>
                  <w:rStyle w:val="InternetLink"/>
                  <w:rFonts w:ascii="Times New Roman;Times;serif" w:hAnsi="Times New Roman;Times;serif"/>
                  <w:b w:val="false"/>
                  <w:i w:val="false"/>
                  <w:caps w:val="false"/>
                  <w:smallCaps w:val="false"/>
                  <w:sz w:val="20"/>
                </w:rPr>
                <w:t>Mine Safety Disclosures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4" w:type="dxa"/>
            <w:tcBorders/>
            <w:tcMar>
              <w:bottom w:w="0" w:type="dxa"/>
            </w:tcMar>
            <w:vAlign w:val="center"/>
          </w:tcPr>
          <w:p>
            <w:pPr>
              <w:pStyle w:val="TableContents"/>
              <w:pBdr/>
              <w:bidi w:val="0"/>
              <w:spacing w:before="0" w:after="0"/>
              <w:ind w:left="0" w:right="0" w:hanging="0"/>
              <w:jc w:val="left"/>
              <w:rPr/>
            </w:pPr>
            <w:hyperlink w:anchor="PARTII_738735">
              <w:r>
                <w:rPr>
                  <w:rStyle w:val="InternetLink"/>
                  <w:rFonts w:ascii="Times New Roman;Times;serif" w:hAnsi="Times New Roman;Times;serif"/>
                  <w:b w:val="false"/>
                  <w:i w:val="false"/>
                  <w:caps w:val="false"/>
                  <w:smallCaps w:val="false"/>
                  <w:sz w:val="20"/>
                </w:rPr>
                <w:t>PART II</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pPr>
            <w:r>
              <w:rPr/>
              <w:t>​</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5MARKETFORREGISTRANTS_414038">
              <w:r>
                <w:rPr>
                  <w:rStyle w:val="InternetLink"/>
                  <w:rFonts w:ascii="Times New Roman;Times;serif" w:hAnsi="Times New Roman;Times;serif"/>
                  <w:b w:val="false"/>
                  <w:i w:val="false"/>
                  <w:caps w:val="false"/>
                  <w:smallCaps w:val="false"/>
                  <w:sz w:val="20"/>
                </w:rPr>
                <w:t>Item 5.</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5MARKETFORREGISTRANTS_414038">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6SELECTEDFINANCIALDATA_372276">
              <w:r>
                <w:rPr>
                  <w:rStyle w:val="InternetLink"/>
                  <w:rFonts w:ascii="Times New Roman;Times;serif" w:hAnsi="Times New Roman;Times;serif"/>
                  <w:b w:val="false"/>
                  <w:i w:val="false"/>
                  <w:caps w:val="false"/>
                  <w:smallCaps w:val="false"/>
                  <w:sz w:val="20"/>
                </w:rPr>
                <w:t>Item 6.</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6SELECTEDFINANCIALDATA_372276">
              <w:r>
                <w:rPr>
                  <w:rStyle w:val="InternetLink"/>
                  <w:rFonts w:ascii="Times New Roman;Times;serif" w:hAnsi="Times New Roman;Times;serif"/>
                  <w:b w:val="false"/>
                  <w:i w:val="false"/>
                  <w:caps w:val="false"/>
                  <w:smallCaps w:val="false"/>
                  <w:sz w:val="20"/>
                </w:rPr>
                <w:t>[RESERVED]</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7MANAGEMENTSDISCUSSIONANDANALYSIS_41">
              <w:r>
                <w:rPr>
                  <w:rStyle w:val="InternetLink"/>
                  <w:rFonts w:ascii="Times New Roman;Times;serif" w:hAnsi="Times New Roman;Times;serif"/>
                  <w:b w:val="false"/>
                  <w:i w:val="false"/>
                  <w:caps w:val="false"/>
                  <w:smallCaps w:val="false"/>
                  <w:sz w:val="20"/>
                </w:rPr>
                <w:t>Item 7.</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7MANAGEMENTSDISCUSSIONANDANALYSIS_4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7AQUANTITATIVEANDQUALITATIVE_254837">
              <w:r>
                <w:rPr>
                  <w:rStyle w:val="InternetLink"/>
                  <w:rFonts w:ascii="Times New Roman;Times;serif" w:hAnsi="Times New Roman;Times;serif"/>
                  <w:b w:val="false"/>
                  <w:i w:val="false"/>
                  <w:caps w:val="false"/>
                  <w:smallCaps w:val="false"/>
                  <w:sz w:val="20"/>
                </w:rPr>
                <w:t>Item 7A.</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7AQUANTITATIVEANDQUALITATIVE_254837">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9CHANGESINANDDISAGREEMENTS_858061">
              <w:r>
                <w:rPr>
                  <w:rStyle w:val="InternetLink"/>
                  <w:rFonts w:ascii="Times New Roman;Times;serif" w:hAnsi="Times New Roman;Times;serif"/>
                  <w:b w:val="false"/>
                  <w:i w:val="false"/>
                  <w:caps w:val="false"/>
                  <w:smallCaps w:val="false"/>
                  <w:sz w:val="20"/>
                </w:rPr>
                <w:t>Item 9.</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9CHANGESINANDDISAGREEMENTS_858061">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9ACONTROLSANDPROCEDURES_789139">
              <w:r>
                <w:rPr>
                  <w:rStyle w:val="InternetLink"/>
                  <w:rFonts w:ascii="Times New Roman;Times;serif" w:hAnsi="Times New Roman;Times;serif"/>
                  <w:b w:val="false"/>
                  <w:i w:val="false"/>
                  <w:caps w:val="false"/>
                  <w:smallCaps w:val="false"/>
                  <w:sz w:val="20"/>
                </w:rPr>
                <w:t>Item 9A.</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9ACONTROLSANDPROCEDURES_789139">
              <w:r>
                <w:rPr>
                  <w:rStyle w:val="InternetLink"/>
                  <w:rFonts w:ascii="Times New Roman;Times;serif" w:hAnsi="Times New Roman;Times;serif"/>
                  <w:b w:val="false"/>
                  <w:i w:val="false"/>
                  <w:caps w:val="false"/>
                  <w:smallCaps w:val="false"/>
                  <w:sz w:val="20"/>
                </w:rPr>
                <w:t>Controls and Procedures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9BOTHERINFORMATION_604897">
              <w:r>
                <w:rPr>
                  <w:rStyle w:val="InternetLink"/>
                  <w:rFonts w:ascii="Times New Roman;Times;serif" w:hAnsi="Times New Roman;Times;serif"/>
                  <w:b w:val="false"/>
                  <w:i w:val="false"/>
                  <w:caps w:val="false"/>
                  <w:smallCaps w:val="false"/>
                  <w:sz w:val="20"/>
                </w:rPr>
                <w:t>Item 9B.</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9BOTHERINFORMATION_604897">
              <w:r>
                <w:rPr>
                  <w:rStyle w:val="InternetLink"/>
                  <w:rFonts w:ascii="Times New Roman;Times;serif" w:hAnsi="Times New Roman;Times;serif"/>
                  <w:b w:val="false"/>
                  <w:i w:val="false"/>
                  <w:caps w:val="false"/>
                  <w:smallCaps w:val="false"/>
                  <w:sz w:val="20"/>
                </w:rPr>
                <w:t>Other Information</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24" w:type="dxa"/>
            <w:tcBorders/>
            <w:tcMar>
              <w:bottom w:w="0" w:type="dxa"/>
            </w:tcMar>
            <w:vAlign w:val="center"/>
          </w:tcPr>
          <w:p>
            <w:pPr>
              <w:pStyle w:val="TableContents"/>
              <w:pBdr/>
              <w:bidi w:val="0"/>
              <w:spacing w:before="0" w:after="0"/>
              <w:ind w:left="0" w:right="0" w:hanging="0"/>
              <w:jc w:val="left"/>
              <w:rPr/>
            </w:pPr>
            <w:hyperlink w:anchor="PARTIII_833298">
              <w:r>
                <w:rPr>
                  <w:rStyle w:val="InternetLink"/>
                  <w:rFonts w:ascii="Times New Roman;Times;serif" w:hAnsi="Times New Roman;Times;serif"/>
                  <w:b w:val="false"/>
                  <w:i w:val="false"/>
                  <w:caps w:val="false"/>
                  <w:smallCaps w:val="false"/>
                  <w:sz w:val="20"/>
                </w:rPr>
                <w:t>PART III</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pPr>
            <w:r>
              <w:rPr/>
              <w:t>​</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0DIRECTORS_185860">
              <w:r>
                <w:rPr>
                  <w:rStyle w:val="InternetLink"/>
                  <w:rFonts w:ascii="Times New Roman;Times;serif" w:hAnsi="Times New Roman;Times;serif"/>
                  <w:b w:val="false"/>
                  <w:i w:val="false"/>
                  <w:caps w:val="false"/>
                  <w:smallCaps w:val="false"/>
                  <w:sz w:val="20"/>
                </w:rPr>
                <w:t>Item 10.</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0DIRECTORS_18586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1EXECUTIVECOMPENSATION_833198">
              <w:r>
                <w:rPr>
                  <w:rStyle w:val="InternetLink"/>
                  <w:rFonts w:ascii="Times New Roman;Times;serif" w:hAnsi="Times New Roman;Times;serif"/>
                  <w:b w:val="false"/>
                  <w:i w:val="false"/>
                  <w:caps w:val="false"/>
                  <w:smallCaps w:val="false"/>
                  <w:sz w:val="20"/>
                </w:rPr>
                <w:t>Item 11.</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1EXECUTIVECOMPENSATION_833198">
              <w:r>
                <w:rPr>
                  <w:rStyle w:val="InternetLink"/>
                  <w:rFonts w:ascii="Times New Roman;Times;serif" w:hAnsi="Times New Roman;Times;serif"/>
                  <w:b w:val="false"/>
                  <w:i w:val="false"/>
                  <w:caps w:val="false"/>
                  <w:smallCaps w:val="false"/>
                  <w:sz w:val="20"/>
                </w:rPr>
                <w:t>Executive Compensation</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3CERTAINRELATIONSHIPSANDRELATED_503">
              <w:r>
                <w:rPr>
                  <w:rStyle w:val="InternetLink"/>
                  <w:rFonts w:ascii="Times New Roman;Times;serif" w:hAnsi="Times New Roman;Times;serif"/>
                  <w:b w:val="false"/>
                  <w:i w:val="false"/>
                  <w:caps w:val="false"/>
                  <w:smallCaps w:val="false"/>
                  <w:sz w:val="20"/>
                </w:rPr>
                <w:t>Item 13.</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3CERTAINRELATIONSHIPSANDRELATED_50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24" w:type="dxa"/>
            <w:tcBorders/>
            <w:tcMar>
              <w:bottom w:w="0" w:type="dxa"/>
            </w:tcMar>
            <w:vAlign w:val="center"/>
          </w:tcPr>
          <w:p>
            <w:pPr>
              <w:pStyle w:val="TableContents"/>
              <w:pBdr/>
              <w:bidi w:val="0"/>
              <w:spacing w:before="0" w:after="0"/>
              <w:ind w:left="0" w:right="0" w:hanging="0"/>
              <w:jc w:val="left"/>
              <w:rPr/>
            </w:pPr>
            <w:hyperlink w:anchor="PARTIV_575613">
              <w:r>
                <w:rPr>
                  <w:rStyle w:val="InternetLink"/>
                  <w:rFonts w:ascii="Times New Roman;Times;serif" w:hAnsi="Times New Roman;Times;serif"/>
                  <w:b w:val="false"/>
                  <w:i w:val="false"/>
                  <w:caps w:val="false"/>
                  <w:smallCaps w:val="false"/>
                  <w:sz w:val="20"/>
                </w:rPr>
                <w:t>PART IV</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pPr>
            <w:r>
              <w:rPr/>
              <w:t>​</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5EXHIBITSANDFINANCIAL_548591">
              <w:r>
                <w:rPr>
                  <w:rStyle w:val="InternetLink"/>
                  <w:rFonts w:ascii="Times New Roman;Times;serif" w:hAnsi="Times New Roman;Times;serif"/>
                  <w:b w:val="false"/>
                  <w:i w:val="false"/>
                  <w:caps w:val="false"/>
                  <w:smallCaps w:val="false"/>
                  <w:sz w:val="20"/>
                </w:rPr>
                <w:t>Item 15.</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5EXHIBITSANDFINANCIAL_548591">
              <w:r>
                <w:rPr>
                  <w:rStyle w:val="InternetLink"/>
                  <w:rFonts w:ascii="Times New Roman;Times;serif" w:hAnsi="Times New Roman;Times;serif"/>
                  <w:b w:val="false"/>
                  <w:i w:val="false"/>
                  <w:caps w:val="false"/>
                  <w:smallCaps w:val="false"/>
                  <w:sz w:val="20"/>
                </w:rPr>
                <w:t>Exhibits and Financial Statement Schedules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24" w:type="dxa"/>
            <w:tcBorders/>
            <w:tcMar>
              <w:bottom w:w="0" w:type="dxa"/>
            </w:tcMar>
            <w:vAlign w:val="center"/>
          </w:tcPr>
          <w:p>
            <w:pPr>
              <w:pStyle w:val="TableContents"/>
              <w:pBdr/>
              <w:bidi w:val="0"/>
              <w:spacing w:before="0" w:after="0"/>
              <w:ind w:left="0" w:right="0" w:hanging="0"/>
              <w:jc w:val="left"/>
              <w:rPr/>
            </w:pPr>
            <w:hyperlink w:anchor="ITEM16FORM10KSUMMARY_908772">
              <w:r>
                <w:rPr>
                  <w:rStyle w:val="InternetLink"/>
                  <w:rFonts w:ascii="Times New Roman;Times;serif" w:hAnsi="Times New Roman;Times;serif"/>
                  <w:b w:val="false"/>
                  <w:i w:val="false"/>
                  <w:caps w:val="false"/>
                  <w:smallCaps w:val="false"/>
                  <w:sz w:val="20"/>
                </w:rPr>
                <w:t>Item 16.</w:t>
              </w:r>
            </w:hyperlink>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ITEM16FORM10KSUMMARY_908772">
              <w:r>
                <w:rPr>
                  <w:rStyle w:val="InternetLink"/>
                  <w:rFonts w:ascii="Times New Roman;Times;serif" w:hAnsi="Times New Roman;Times;serif"/>
                  <w:b w:val="false"/>
                  <w:i w:val="false"/>
                  <w:caps w:val="false"/>
                  <w:smallCaps w:val="false"/>
                  <w:sz w:val="20"/>
                </w:rPr>
                <w:t>Form 10-K Summary</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2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both"/>
              <w:rPr/>
            </w:pPr>
            <w:r>
              <w:rPr/>
              <w:t>​</w:t>
            </w:r>
          </w:p>
        </w:tc>
        <w:tc>
          <w:tcPr>
            <w:tcW w:w="8117" w:type="dxa"/>
            <w:tcBorders/>
            <w:tcMar>
              <w:bottom w:w="0" w:type="dxa"/>
            </w:tcMar>
            <w:vAlign w:val="center"/>
          </w:tcPr>
          <w:p>
            <w:pPr>
              <w:pStyle w:val="TableContents"/>
              <w:pBdr/>
              <w:bidi w:val="0"/>
              <w:spacing w:before="0" w:after="0"/>
              <w:ind w:left="0" w:right="0" w:hanging="0"/>
              <w:jc w:val="left"/>
              <w:rPr/>
            </w:pPr>
            <w:hyperlink w:anchor="SIGNATURES_274602">
              <w:r>
                <w:rPr>
                  <w:rStyle w:val="InternetLink"/>
                  <w:rFonts w:ascii="Times New Roman;Times;serif" w:hAnsi="Times New Roman;Times;serif"/>
                  <w:b w:val="false"/>
                  <w:i w:val="false"/>
                  <w:caps w:val="false"/>
                  <w:smallCaps w:val="false"/>
                  <w:sz w:val="20"/>
                </w:rPr>
                <w:t>Signatures</w:t>
              </w:r>
            </w:hyperlink>
          </w:p>
        </w:tc>
        <w:tc>
          <w:tcPr>
            <w:tcW w:w="346" w:type="dxa"/>
            <w:tcBorders/>
            <w:tcMar>
              <w:bottom w:w="0" w:type="dxa"/>
            </w:tcMar>
            <w:vAlign w:val="center"/>
          </w:tcPr>
          <w:p>
            <w:pPr>
              <w:pStyle w:val="TableContents"/>
              <w:bidi w:val="0"/>
              <w:spacing w:before="0" w:after="0"/>
              <w:ind w:left="0" w:right="0" w:hanging="0"/>
              <w:jc w:val="right"/>
              <w:rPr/>
            </w:pPr>
            <w:r>
              <w:rPr/>
              <w:t>​</w:t>
            </w:r>
          </w:p>
        </w:tc>
        <w:tc>
          <w:tcPr>
            <w:tcW w:w="572"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II-2</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7" w:name="PARTI_335323"/>
      <w:bookmarkStart w:id="28" w:name="_ecae5f75_f633_4807_90e8_af44d23958e6"/>
      <w:bookmarkEnd w:id="27"/>
      <w:bookmarkEnd w:id="28"/>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Section 27A of the Securities Act of 1933, as amended, and Section 21E of the Securities Exchange Act of 1934, as amended (the “Exchange Act”). Forward-looking statements relate to our current expectations, beliefs, and projections concerning matters that are not historical facts. Words such as “project,” “believe,” “anticipate,” “plan,” “expect,” “intend,” “may,” “should,” “will,” “would,” and similar words and expressions are intended to identify forward-looking statements. Forward-looking statements are not guarantees of future performance and involve uncertainties, risks, assumptions and contingencies, many of which are outside our control. Assumptions upon which our forward-looking statements are based could prove to be inaccurate, and actual results may differ materially from those expressed in or implied by such forward-looking statements. Important factors that could cause our actual results to differ materially from our expectations are disclosed in this report, including, without limitation, delays related to the award of domestic and international contracts; failure to secure the renewal of key customer contracts; delays in customer programs; government shutdowns; delays in revenue recognition related to the timing of customer acceptance; the impact of potential information technology, cybersecurity or data security breaches; changes in domestic and foreign government spending and budgetary, procurement and trade policies adverse to our businesses; the impact of the Russia-Ukraine conflict or conflicts in the Middle East, including the potential for broad economic disruption, increased global tensions, or potential disruptions to customer operations, procurement activities, transportation networks and project timing; global economic uncertainty, including the impact of tariffs; material delays and cancellations of orders or deliveries thereon, supply chain and transportation networks disruptions, plant closures, or other adverse impacts on our ability to execute business plans; unfavorable currency exchange rate fluctuations; unfavorable interest rate fluctuations; the effect of changes in tax legislation; market acceptance of our new and existing technologies, products and services; our ability to win new business and convert any orders received to sales within the current fiscal year; contract and regulatory compliance matters, or actions, which if brought, could result in judgments, settlements, fines, injunctions, debarment or penalties; and other risks and uncertainties, including but not limited to those factors described in Part I, Item 1, “Business,” Part I, Item 1A, “Risk Factors” and Part II, Item 7, “Management’s Discussion and Analysis of Financial Condition and Results of Operations” as well as factors described elsewhere in this report and other documents filed by us from time to time with the Securities and Exchange Commission (“SEC”). All forward-looking statements contained in this report are qualified in their entirety by this section.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Investors should not place undue reliance on forward-looking statements as a prediction of actual results. We undertake no obligation to update any forward-looking statement that becomes untrue because of subsequent events, new information, or otherwise, except to the extent required to do so under federal securities laws.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9" w:name="BUSINESS_398763"/>
      <w:bookmarkStart w:id="30" w:name="ITEM1_396552"/>
      <w:bookmarkStart w:id="31" w:name="ITEM1BUSINESS_761497"/>
      <w:bookmarkStart w:id="32" w:name="_ea666392_b70d_4172_a617_53fc918f2f49"/>
      <w:bookmarkEnd w:id="29"/>
      <w:bookmarkEnd w:id="30"/>
      <w:bookmarkEnd w:id="31"/>
      <w:bookmarkEnd w:id="32"/>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OSI Systems, Inc., together with our subsidiaries, is a vertically integrated designer and manufacturer of specialized electronic systems and components for critical applications. We sell our products and provide related services in diversified markets, including homeland security, healthcare, defense and aerospace. Our company is incorporated in the State of Delaware and our principal office is located at 12525 Chadron Avenue, Hawthorne, California 90250.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three operating divisions: (a) Security, providing security and inspection systems, turnkey security screening solutions, and high-power radio frequency systems; (b) Optoelectronics and Manufacturing, providing specialized electronic components for our Security and Healthcare divisions, as well as to third parties for applications in the defense and aerospace markets, among others; and (c) Healthcare, providing patient monitoring, cardiology and remote monitoring, and connected care systems and associated accessories.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sell our security and inspection solutions and healthcare products primarily to end</w:t>
        <w:noBreakHyphen/>
        <w:t>users, while we design and manufacture our optoelectronic devices and value</w:t>
        <w:noBreakHyphen/>
        <w:t>added subsystems and provide electronics manufacturing services primarily for original equipment manufacturer (OEM)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Security Division. </w:t>
      </w:r>
      <w:r>
        <w:rPr>
          <w:rFonts w:ascii="Times New Roman;Times;serif" w:hAnsi="Times New Roman;Times;serif"/>
          <w:sz w:val="20"/>
        </w:rPr>
        <w:t>A variety of technologies are currently used globally in non-intrusive security and inspection systems, including transmission and backscatter X-ray interrogation, 3-D computed tomography, radiation monitoring, metal detection, millimeter wave imaging, chemical trace detection, and optical inspection. We believe that the market for security and inspection products will continue to be affected by the threat of terrorist incidents, drug and human trafficking, border security, gun violence, and by new government mandates and appropriations for security and inspection products both in the United States and internationally.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Security and inspection products are used at a wide range of facilities such as airports, border crossings, seaports, freight forwarding operations (to screen cargo before it is loaded onto airplanes), government and military installations, sports and concert venues, correctional facilities, and other locations where the interdiction of criminal activities is paramount. The U.S. Department of Homeland Security has undertaken numerous initiatives to prevent terrorists from entering the country, hijacking airplanes, and obtaining and transporting explosives, weapons and their components, and to prevent drug and human trafficking, among other serious crimes. These initiatives, such as the Customs-Trade Partnership Against Terrorism, the U.S. Transportation Security Administration’s Air Cargo Screening Mandate and the U.S. Customs and Border Protection Container Security Initiative, have resulted in increased demand for security and inspection products, as have similar programs undertaken by governments across the world.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international market for non-intrusive inspection equipment and related services also continues to expand as nations procure and operate equipment to meet their own security objectives and address evolving threats, including bolstering security operations at their own borders, transportation networks, critical infrastructure facilities, and other venues. Global initiatives like the European Union’s Customs Control Equipment Instrument (CCEI) and mandates for 100% cargo scanning at key international ports are driving increased demand for advanced inspection technologies by setting higher security standards, streamlining customs processes, and promoting greater interoperability among international security frameworks. The U.S. Transportation Security Administration and other international air transportation security regulators around the world require the screening of passengers, carry-on bags and air cargo. Several of our screening system models have been approved by the U.S. Transportation Security Administration, as well as by various international regulatory bodies, for this purpose and are procured and used by government agencies, airlines, airports, freight forwarders, transportation companies and other businesses to fulfill their compliance requirements. These and other regulations promulgated by international organizations have resulted in an ongoing global demand for airline, cargo, port and border security and inspection technologies.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global market for high-power radio frequency (RF) systems is expanding. High-power over-the-horizon radar (OTHR) can provide 24/7 coverage of air, land and orbital space well outside the political borders of most countries. The U.S. has an initiative called Golden Dome, which, among other objectives, seeks to expand air defense surveillance capability. Other countries may seek similar expanded capabilities. Global navigation systems such as GPS are under constant attack by threat actors. There is a global need for more secure and redundant systems to ensure continuous access to accurate position and time data. Secure communications networks face ever more sophisticated threats and thus demand for secure digital long-range communication is increasing.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Optoelectronics and Manufacturing Division.</w:t>
      </w:r>
      <w:r>
        <w:rPr>
          <w:rFonts w:ascii="Times New Roman;Times;serif" w:hAnsi="Times New Roman;Times;serif"/>
          <w:sz w:val="20"/>
        </w:rPr>
        <w:t xml:space="preserve"> We believe that continued advances in technology have broadened the optoelectronics market by enabling the use of optoelectronic devices in a greater number of applications. In addition, we see the continued electrification and miniaturization of products to expand the markets for providing electronic manufacturing services to OEMs who increasingly see the benefit of outsourcing the design and manufacture of optoelectronic devices as well as value-added subsystems to fully-integrated, independent manufacturers, like us, which may offer greater specialization, broader expertise, and more flexibility to respond to short cycle times and quicker market expectations.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optoelectronic devices are utilized in a wide range of applications across various markets, including aerospace and defense, automotive, medical imaging and diagnostics, life sciences and biotechnology, pharmaceuticals, nanotechnology, telecommunications, construction, and homeland security. Medical applications for our devices include diagnostic and imaging products, patient monitoring equipment, and glucose monitors. Aerospace and defense applications for our devices include satellite navigation sensors, laser-guided munitions systems, range finders, and other applications that require the conversion of optical signals into electrical signals. Homeland security applications for our devices include X-ray imaging, chemical, biological, radiological, nuclear, and explosive-based detection systems. Our optoelectronic devices and value-added subsystems are also used in a wide range of measurement control, monitoring, and industrial applications, serving as key components in telecommunications technologies. We also offer electronics manufacturing services to broader markets, as well as to our optoelectronics customers and our Security and Healthcare divisions. We offer full turnkey solutions as well as printed circuit board assembly, cable and harness assembly, liquid crystal displays, and box-build manufacturing services, in which we provide product design and development, supply chain management, and production manufacturing services. Additionally, our North America based flexible circuit businesses offer design expertise, fabrication capabilities, and assembly of flexible and rigid circuit boards for the growing North American manufacturing and product development markets for industrial, medical, military, and consumer applications.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Healthcare Division.</w:t>
      </w:r>
      <w:r>
        <w:rPr>
          <w:rFonts w:ascii="Times New Roman;Times;serif" w:hAnsi="Times New Roman;Times;serif"/>
          <w:sz w:val="20"/>
        </w:rPr>
        <w:t xml:space="preserve"> Healthcare has been, and we believe will continue to be, a growing economic sector throughout much of the world. Developing countries in Latin America and the Asia-Pacific region are expected to continue to build healthcare infrastructure to serve expanding middle class populations. In developed areas, especially the United States, Europe, and mature Asian countries, aging populations and extended life expectancy are projected to fuel growth in healthcare for the foreseeable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believe that the healthcare industry will continue to grow throughout much of the world, many factors are forcing healthcare providers to do more with less. These factors include inflationary pressures, labor shortages and unfavorable shifts in payor mix. The COVID-19 pandemic strained healthcare provider resources, placing increased focus on the advantages of remote monitoring and products which can be deployed flexibly, enabling hospitals to quickly reconfigure and adapt to unexpected changes. Our customers expect clinical value, economic value, and clinical decision support. Positioning our current healthcare products to demonstrate the competitive value in total cost of ownership is increasingly important in this environment. At the same time, the widespread introduction of mobile devices into the healthcare environment is creating an emerging demand for patient data acquisition and distribution. Our Healthcare division designs, manufactures and markets devices and software that respond to these factors, helping hospitals reduce costs, make better-informed clinical decisions, and more fully utilize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global manufacturer and distributor of patient monitoring, cardiology and remote monitoring, and connected care solutions for use in hospitals, medical clinics and physician offices. We design, manufacture and market patient monitoring solutions for critical, sub-acute and perioperative care areas of the hospital, wired and wireless networks and ambulatory blood pressure monitors, all aimed at providing caregivers with timely patient information. Our cardiology and remote monitoring systems include Holter recorders and analyzers, ambulatory blood pressure monitors, resting and stress electrocardiography (ECG) devices, and ECG management software systems and related software and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Growth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one of our primary competitive strengths is our expertise in designing and manufacturing cost-effective specialized electronic systems and components for critical applications. As a result, we will continue to leverage such expertise and capacity to gain price, performance and agility advantages over our competitors in the security, healthcare and optoelectronics fields, and to translate such advantages into profitable growth in these fields. At the same time, we continually seek to identify new markets in which our core expertise and capacity will provide us with competitive advantages. Key elements of our growth strategy include: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Capitalizing on Global Reach. </w:t>
      </w:r>
      <w:r>
        <w:rPr>
          <w:rFonts w:ascii="Times New Roman;Times;serif" w:hAnsi="Times New Roman;Times;serif"/>
          <w:sz w:val="20"/>
        </w:rPr>
        <w:t>We operate from multiple locations throughout the world. We view our international operations as providing an important strategic advantage over competitors. First, our international manufacturing facilities allow us to take advantage of competitive labor rates in order to lower our manufacturing costs. Second, our international offices strengthen our sales and marketing efforts and our ability to service and repair our systems by providing direct access to growing markets and to our existing international customer base. Third, our international manufacturing locations allow us to reduce delivery times to our global customer base. We intend to continue to enhance our international manufacturing and sales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Capitalizing on Vertical Integration. </w:t>
      </w:r>
      <w:r>
        <w:rPr>
          <w:rFonts w:ascii="Times New Roman;Times;serif" w:hAnsi="Times New Roman;Times;serif"/>
          <w:sz w:val="20"/>
        </w:rPr>
        <w:t>Our vertical integration provides several advantages across all our divisions. These advantages include reduced manufacturing and delivery times, lower costs due to our access to competitive international labor markets and direct sourcing of raw materials and subcomponents. We also believe that we offer significant added value to our customers by providing a full range of vertically-integrated services, including component design and customization, subsystem concept design and application engineering, product development and prototyping, efficient preproduction and short run manufacturing and competitive mass production capabilities. We believe that our vertical integration differentiates us from many of our competitors and provides value to our customers who can rely on us to be an integrated and comprehensive supplier.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Capitalizing on the Market for Security and Inspection Systems.</w:t>
      </w:r>
      <w:r>
        <w:rPr>
          <w:rFonts w:ascii="Times New Roman;Times;serif" w:hAnsi="Times New Roman;Times;serif"/>
          <w:sz w:val="20"/>
        </w:rPr>
        <w:t xml:space="preserve"> The trend toward increased screening of goods entering and departing from ports and crossing borders has resulted, and may continue to result in, the growth in the market for cargo inspection systems and turnkey security screening services that are capable of inspecting shipping containers (including trucks and rail cars) for contraband and assisting customs officials in the verification of shipping manifests. Package and cargo screening by freight forwarders, airlines and air cargo companies represents a growing sector, as regulations in the United States and Europe have continued to require screening of air cargo shipments. In Europe, increasing investment in border security and immigration management to combat illegal smuggling, unauthorized border crossings and other cross-border threats are creating additional growth opportunities for our cargo and vehicle inspection solutions as well as our biometric identity verification screening technologies. We are capitalizing on opportunities to replace, service and upgrade existing security installations, and offering turnkey security screening solutions in which we are constructing, staffing and/or operating security screening checkpoints for our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that a market for software-as-a-service (SaaS) platforms that are capable of integrating the data that security inspection systems produce with related information derived from vehicle license plates, cargo container numbers, drivers’ licenses, government databases, and other sources will also continue to develop, mature and grow, particularly as customers shift their operating procedures to take advantage of secure, cloud-based, networking technologies. We are a leader in the development of these platforms, including the transmission of such data to operators that may be working within secure, remote screening facilities hundreds or thousands of miles away from the security checkpoint. Our platforms are used by customs and tax authorities in the United States, Europe, Middle East, Oceania and Latin America to screen millions of containers and vehicles. We believe that government agencies and commercial customers will continue to rely on such SaaS offerings to review and adjudicate screening decisions remotely, over secure networks, as well as to communicate with and monitor the performance of their employees working on the ground at distant ports, border crossings and other checkpoints. In addition, we deliver inspection algorithms combining data and image information into SaaS integrated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Finally, we also intend to continue to develop new security and inspection products and technologies, including software and algorithms, and to enhance our current product and service offerings through internal research and development and selective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Improving and Complementing Existing Medical Technologies. </w:t>
      </w:r>
      <w:r>
        <w:rPr>
          <w:rFonts w:ascii="Times New Roman;Times;serif" w:hAnsi="Times New Roman;Times;serif"/>
          <w:sz w:val="20"/>
        </w:rPr>
        <w:t>We develop and market patient monitoring systems, cardiology and remote monitoring products, connected care solutions, remote clinical monitoring, clinical decision support, and associated supplies and accessories. Our efforts to develop new products and improve our existing medical technologies are focused on the needs of healthcare organizations, caregivers, and their patients. Our efforts to improve existing medical technologies concentrate on providing products that are flexible and intuitive to use so that clinicians can deliver accurate, precise, reliable and cost-effective care.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Selectively Entering New Markets. </w:t>
      </w:r>
      <w:r>
        <w:rPr>
          <w:rFonts w:ascii="Times New Roman;Times;serif" w:hAnsi="Times New Roman;Times;serif"/>
          <w:sz w:val="20"/>
        </w:rPr>
        <w:t>We intend to continue to selectively enter new markets that complement our existing capabilities in the design, development and manufacture of specialized electronic systems and components for critical applications such as security inspection, patient monitoring and cardiology and remote monitoring. We believe that by manufacturing products that rely on our existing technological capabilities, we will leverage our integrated design and manufacturing infrastructure to build a larger presence in new markets that present attractive competitive dynamics. We intend to achieve this strategy through internal growth and through selective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Acquiring New Technologies and Companies. </w:t>
      </w:r>
      <w:r>
        <w:rPr>
          <w:rFonts w:ascii="Times New Roman;Times;serif" w:hAnsi="Times New Roman;Times;serif"/>
          <w:sz w:val="20"/>
        </w:rPr>
        <w:t>Our success depends in part on our ability to continually enhance and broaden our product offerings in response to changing technologies, customer demands and competitive pressures. We have developed expertise in our various lines of business and other areas through internal research and development efforts, as well as through selective acquisitions. We expect to continue to seek acquisition opportunities to broaden our technological expertise and capabilities, lower our manufacturing costs and facilitate our entry into new markets.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and Technology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design, develop, manufacture and sell products ranging from security and inspection systems to patient monitoring and cardiology and remote monitoring systems to discrete optoelectronic devices and value-added subsystems.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Security and Inspection Products and Solutions.</w:t>
      </w:r>
      <w:r>
        <w:rPr>
          <w:rFonts w:ascii="Times New Roman;Times;serif" w:hAnsi="Times New Roman;Times;serif"/>
          <w:sz w:val="20"/>
        </w:rPr>
        <w:t xml:space="preserve"> We design, manufacture and market security and inspection systems globally to end users primarily under the “Rapiscan” trade name. Our Security products are used to inspect baggage, parcels, cargo, people, vehicles and other objects for various contraband and prohibited items including weapons, explosives, drugs, biosecurity threats, and nuclear materials. These systems are also used for the safe, accurate and efficient verification of cargo manifests for the purpose of assessing duties and monitoring the export and import of controlled materials. Our Security products fall into the following categories: baggage and parcel inspection; cargo and vehicle inspection; hold (checked) baggage screening; people screening; radiation monitoring; explosive and narcotics trace detection; and optical inspection systems. We also offer turnkey security screening services, an enterprise inspection process integration platform, operator training, and the staffing and operation of security screening checkpoints under the “S2” trade name. We have recently expanded this capability to include management of full-service checkpoint operations at several U.S. airports as part of TSA’s privatized screening initiative under the Screening Partnership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security and inspection products have increasingly been used at a wide range of facilities in addition to airports, such as border crossings, railways, seaports, cruise line terminals, sports and entertainment venues, freight forwarding operations, government and military installations and nuclear facilities. As a result of the use of security and inspection products at additional facilities, we have diversified our portfolio of security and inspection products and our sales channels.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of our security and inspection systems utilize dual-energy X-ray imaging technology, in combination with software enhanced imaging methods and algorithms to facilitate the detection of contraband materials and items such as explosives, weapons, and narcotics. Dual energy imaging allows some material properties to be identified. Additionally, dual-view X-ray imaging allows operators to view and examine objects from two directions simultaneously, thereby improving the operator’s ability to detect threats quickly and effectively. Some of our systems also use different types or combinations of X-ray imaging in addition to dual-energy, such as multi-view and computed tomography. Algorithms that process images and related data from these systems significantly enhance the overall probability of detection of a range of threat items and materials. Typical threat items include explosives and weapons.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inspection systems range in size from compact, handheld and table-top products to large systems comprising entire buildings in which trucks, shipping containers or pallets are inspected. Many of our inspection systems are also designed to be upgradeable to respond to new customer requirements as they emerge or 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cargo and vehicle inspection applications, in which vehicles, cars, trucks, shipping containers, pallets and other large objects can be inspected, are designed in various configurations, including mobile, portal, gantry, and rail systems. Our customers use these products to verify the contents of cars, trucks, rail cars and cargo containers and to detect the presence of contraband, including narcotics, weapons, explosives, radioactive and nuclear materials and other smuggled items. Most of our cargo and vehicle inspection systems employ X</w:t>
        <w:noBreakHyphen/>
        <w:t>ray imaging to inspect objects and present images to an inspector, including shapes, sizes, locations and relative densities of the contents. These systems utilize transmission imaging, backscatter imaging, or both technologies in combination. We also manufacture passive radiation monitoring devices for detecting nuclear materials utilizing their gamma and neutron signatures. Additionally, we have developed isotope</w:t>
        <w:noBreakHyphen/>
        <w:t>specific identification algorithms. Many of these systems have been built to meet specific requirements of our government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broad portfolio of non-intrusive inspection systems permits us to offer customers solutions that are tailored to their specific operational requirements, performance standards and budgets. In many cases, we have designed our systems to meet the performance specifications of relevant regulators, including authorities located in the United States, United Kingdom and European Union. This is particularly the case with respect to systems used (or approved for use) to perform screening of airline passenger carry-on items, hold (checked) baggage and air cargo.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Security division also offers trace detection systems that are designed to detect trace amounts of explosives and narcotics and people screening products, such as walk-through metal detectors for use at security checkpoints at airports, government buildings, sports arenas and other venues. We also advance the application of radio frequency (RF) broadcast transmission and scientific and industrial equipment, specializing in the custom design, development, and manufacture of digital and analog high-power RF systems for a global customer base across various sectors, including science, industrial, government, defense, and broadcast objectives.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Optoelectronic Devices and Manufacturing Services</w:t>
      </w:r>
      <w:r>
        <w:rPr>
          <w:rFonts w:ascii="Times New Roman;Times;serif" w:hAnsi="Times New Roman;Times;serif"/>
          <w:sz w:val="20"/>
        </w:rPr>
        <w:t>. Optoelectronic devices designed, manufactured, and sold through our Optoelectronics and Manufacturing division generally consist of both active and passive components. A collection of active components detects lights of different wavelengths and converts light into electrical signals. Meanwhile, another set of devices emits light in the form of lasers, transforming electricity into light. Passive components are responsible for amplifying, separating, and reflecting light. These products are manufactured in standard and customized configurations for specific applications and are offered either as components or as subsystems. Our optoelectronic products and services are provided primarily under the “OSI Optoelectronics” trade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manufacturing standard and OEM products, we also specialize in designing and manufacturing customized, value-added subsystems for use in a wide range of products and equipment. An optoelectronic subsystem typically consists of one or more optoelectronic components that are combined with other electronic components and packaging for use in an end product. The composition of a subsystem can range from a simple assembly of various optoelectronic devices that are incorporated into other subsystems (for example, a printed circuit board containing our optoelectronic devices) to complete end products (for example, pulse oximetry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electronics design and manufacturing services in North America, the United Kingdom, and the Asia Pacific region. Our offerings include printed circuit board assemblies, cable and harness assemblies, and complete systems. Our factories are equipped with automated surface mount technology (SMT) lines and other advanced automated manufacturing equipment. We offer these services to OEM customers and end users in various sectors, including medical, automotive, defense, aerospace, industrial, and consumer electronics applications that are not primarily focused on integrating optoelectronic devices. Additionally, we design and manufacture custom LCD displays for medical, industrial, and consumer electronics applications, as well as design and fabricate flex circuits for OEM customers ranging from the prototype stage to mass production. Our electronics manufacturing services are provided primarily under the trade names “OSI Electronics,” “Altaflex,” and “PFC Flexible Circuits.”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Patient Monitoring, Cardiology and Remote Monitoring, and Clinical Decision Support. </w:t>
      </w:r>
      <w:r>
        <w:rPr>
          <w:rFonts w:ascii="Times New Roman;Times;serif" w:hAnsi="Times New Roman;Times;serif"/>
          <w:sz w:val="20"/>
        </w:rPr>
        <w:t>Our Healthcare division designs, manufactures and markets products globally to end users primarily under the “Spacelabs Healthcare” trade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Spacelabs products include patient monitors for use in perioperative, critical care, step down telemetry, and emergency care environments with neonatal, pediatric and adult patients. Our patient monitoring systems include bedside monitors such as the Xprezzon and Qube as well as telemetry solutions. These bedside monitors and telemetry devices are networked via wired or wireless networks and data is distributed to centralized surveillance solutions (Xhibit Central Station) and integrated into hospital information systems via products such as Intesys Clinical Suite (ICS). These solutions enable caretakers to monitor critical physiological parameters and to respond to patient conditions by accessing patient data where and when it is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Spacelabs SafeNSound™ assists hospitals in providing value-based care by streamlining workflows and improving communications. Features include comprehensive reporting tools, a communications dashboard for monitor technicians, and a device management system to admit patients to monitors/telemetry at the bedside. These tools help address top challenges facing hospitals today.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Spacelabs’ predictive analytics clinical decision support solutions enable continuous patient surveillance and early identification of clinical deterioration across hospital care settings. The suite includes FDA-cleared and regulated products featuring the Rothman Index, a proprietary patient condition score available through EMR-integrated, web-based, or mobile app interfaces. Together, they support and accelerate care improvement initiatives that hospitals are actively prioritizing and investing in today.</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Our Pathfinder SL</w:t>
      </w:r>
      <w:r>
        <w:rPr>
          <w:rFonts w:ascii="Times New Roman;Times;serif" w:hAnsi="Times New Roman;Times;serif"/>
          <w:sz w:val="15"/>
        </w:rPr>
        <w:t>®</w:t>
      </w:r>
      <w:r>
        <w:rPr>
          <w:rFonts w:ascii="Times New Roman;Times;serif" w:hAnsi="Times New Roman;Times;serif"/>
          <w:sz w:val="20"/>
        </w:rPr>
        <w:t xml:space="preserve"> and Lifescreen™ Pro analysis tools provide clinicians the ability to save Holter analysis time and to do detailed analysis when needed inside or outside the hospital. Our Eclipse Pro Holter recorders provide up to 14 days of 3-channel recording or up to 72 hours of 12 lead with pacing. Our Eclipse Mini Ambulatory ECG Recorder provides up to 30 days of 3-channel ECG and when paired with Lifescreen™ Pro clinicians can analyze millions of heart beats within minutes. We are also a supplier of ambulatory blood pressure (ABP) monitors which are routinely used by physicians around the world and by contract research organizations. Many physicians are using ambulatory blood pressure monitoring to detect “white coat” hypertension, a condition in which people experience elevated blood pressure in the doctor’s office but not in their daily lives. Ambulatory blood pressure monitoring helps improve diagnostic accuracy and minimize the associated costs of treatment. Spacelabs OnTrak™ ambulatory blood pressure system has been validated for both pediatric and adult patient types and includes the capability to measure activity correlation with non-invasive blood pressure readings.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Our Sentinel</w:t>
      </w:r>
      <w:r>
        <w:rPr>
          <w:rFonts w:ascii="Times New Roman;Times;serif" w:hAnsi="Times New Roman;Times;serif"/>
          <w:sz w:val="15"/>
        </w:rPr>
        <w:t>®</w:t>
      </w:r>
      <w:r>
        <w:rPr>
          <w:rFonts w:ascii="Times New Roman;Times;serif" w:hAnsi="Times New Roman;Times;serif"/>
          <w:sz w:val="20"/>
        </w:rPr>
        <w:t xml:space="preserve"> Cardiology Information Management System is designed to provide an electronic, enterprise-wide scalable system for cardiology and remote monitoring. Sentinel integrates data from Spacelabs-branded products and third-party devices into a central enterprise-wide database system that can be accessed by care providers and medical facility administrators, thereby providing enhanced workflow and efficiencies. The system’s web-based solution enables the secure transfer of data from multiple remote sites. Sentinel supports mobile and remote working, taking ECG management to the point of care for flexible use of devices and capture of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capital-intensive products that our Healthcare division sells have supplies and accessories associated with them that can represent annuity revenue opportunities. Additionally, our Healthcare division manufactures multivendor compatible accessories for use with third-party devices.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Markets, Customers and Applications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Security and Inspection Products</w:t>
      </w:r>
      <w:r>
        <w:rPr>
          <w:rFonts w:ascii="Times New Roman;Times;serif" w:hAnsi="Times New Roman;Times;serif"/>
          <w:sz w:val="20"/>
        </w:rPr>
        <w:t>. Some security and inspection products were developed originally in response to civilian airline hijackings. Consequently, certain of our security and inspection products have been and continue to be sold for use at airports. Our security and inspection products are also used for security and customs purposes at locations in addition to airports, such as border crossings, shipping ports, critical infrastructure facilities, international mail facilities, sports and entertainment venues, military and other government installations, freight forwarding facilities, high-profile locations and for high-profile events such as the Olympic Games, FIFA World Cup, and other sporting events. We also provide turnkey security screening solutions, which can include the construction, staffing and long-term operation of security screening locations for our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customers include, among many others, the U.S. Department of Homeland Security, U.S. Department of War, U.S. Department of State, U.S. Department of Commerce, and U.S. Department of Justice, as well the ministries and departments of many international governments, including transportation and border control authorities and other critical infrastructure agencies.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contracts with the U.S. Government are generally subject to termination for convenience at the election of the U.S. Government. For the fiscal year ended June 30, 2026, our Security division’s direct sales to the U.S. Government were approximately $207.3 million. Additionally, certain of our contracts with foreign governments also contain provisions allowing the government to terminate a contract for convenience. For further discussion, please refer to Item 1A.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Optoelectronic Devices and Electronics Manufacturing Services. </w:t>
      </w:r>
      <w:r>
        <w:rPr>
          <w:rFonts w:ascii="Times New Roman;Times;serif" w:hAnsi="Times New Roman;Times;serif"/>
          <w:sz w:val="20"/>
        </w:rPr>
        <w:t>Our optoelectronic devices and electronics are used in a broad range of products for various customers across the following market segments: defense, aerospace, and avionics; medical and life sciences; healthcare; telecommunications; homeland security; toll and traffic management; automotive and industrial.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Patient Monitoring, Cardiology and Remote Monitoring, and Connected Care Solutions.</w:t>
      </w:r>
      <w:r>
        <w:rPr>
          <w:rFonts w:ascii="Times New Roman;Times;serif" w:hAnsi="Times New Roman;Times;serif"/>
          <w:sz w:val="20"/>
        </w:rPr>
        <w:t xml:space="preserve"> Our patient monitoring, cardiology and remote monitoring, and connected care solutions are manufactured and distributed globally for use throughout the hospital, in areas such as critical care, emergency, perioperative and step down telemetry units. Our solutions are also utilized in physicians’ offices, medical clinics and ambulatory surgery centers.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sell products directly to end customers, as well as through integrated delivery networks and group purchasing organizations in the U.S., the NHS Supplies Organization in the United Kingdom, UGAP in France, NUPCO in Saudi Arabia and to various government funded hospitals in the Middle East and several parts of Asia.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Marketing, Sales and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market and sell our security and inspection products and turnkey security screening solutions globally through a direct sales and marketing staff located in North America, South America, Europe, Middle East, Australia, and Asia, in addition to an expansive global network of independent distributors. This sales organization is supported by a service organization located in the same region, as well as a global network of independent, authorized service providers.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market and sell our healthcare solutions globally through a direct sales and marketing staff located in North America, South America, Europe and Asia, in addition to a global network of independent distributors. We also support these sales and customer service efforts by providing operator in service training, comprehensive interactive eLearning for all products, software updates and upgrades and service training for customer biomedical staff and distributors. We provide this support via our international team of technical and clinical specialists.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market and sell our optoelectronic devices and manufacturing services through both our direct sales and marketing teams located in North America, Europe, and Asia, as well as indirectly through a global network of independent sales representatives and distributors. Our sales staff is supported by a team of application engineers who provide technical assistance, including application design, custom tooling, process integration, and development of products that meet customer-defined specifications.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our maintenance service operations to be an important element of our business. After the expiration of our standard product warranty periods, we are often engaged by customers, either directly or through our network of authorized service providers, to provide maintenance services for our security and inspection products. In addition, we provide a variety of service and support options for our healthcare customers, including hospital on-site repair and maintenance service and telephone support, parts exchange programs for customers with the internal expertise to perform a portion of their own service needs and a depot repair center at our division headquarters. We believe that our international maintenance service capabilities allow us to be competitive in selling our security and inspection systems as well as our patient monitoring, cardiology and remote monitoring, and connected care systems.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security and inspection systems are designed and developed across a global network of engineering and software teams in the United States, United Kingdom, Australia, Germany, Singapore, and India. These teams work in an integrated manner across mechanical, electrical, and software disciplines to deliver complete inspection solutions. In addition to system design, we provide civil works and system integration services to deploy and connect our platforms within broader operational environments, including customer networks and external data systems. Our software teams play a central role in this integration, enabling secure data exchange, remote operations, and the continuous improvement of inspection performance. We support cooperative and government-funded research initiatives with universities, laboratories, and government agencies. Through ongoing software development and algorithm enhancements, we are able to address increasingly complex inspection challenges and deliver measurable improvements in detection, efficiency, and operational scalability.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design and manufacture optoelectronic devices, and we provide electronics manufacturing services primarily in our facilities in the United States and internationally in the United Kingdom, Canada, India, Indonesia, Malaysia, and Mexico. We engineer and manufacture subsystems to solve the specific application needs of our OEM customers. Additionally, we provide comprehensive subsystem design and manufacturing solutions. We consider our engineering personnel to be an important extension of our core sales and marketing efforts. Our engineering teams also design and develop processes for fabricating our custom products, from semiconductor wafer-level to complete products, to ensure that our technology and products meet the latest market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healthcare products are primarily designed at our facilities in the United States, the United Kingdom and India. These products include enterprise and embedded software, networking, connectivity, mechanical, electronic and software subsystems, most of which are designed by us. We are also currently involved, both in the United States and internationally, in research projects aimed at improving our medical systems and at expanding our current product lines.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close collaboration with our customers in the design and development of our current products, we maintain an active program for the development and introduction of new products, enhancements and improvements to our existing products, including the implementation of new applications of our technology. We seek to further enhance our research and development program and consider such program to be an important element of our business and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Manufacturing and Materials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manufacture our security and inspection systems domestically in California and Massachusetts, and internationally in Germany, Malaysia and the United Kingdom. We manufacture our RF products in Texas. We currently manufacture our patient monitoring and cardiology and remote monitoring systems in Washington state. We outsource manufacturing of certain of our supplies and accessories. We currently manufacture our optoelectronic devices and provide electronics manufacturing services domestically in California and New Jersey, and internationally in Canada, Mexico, India, Indonesia, Malaysia, and the United Kingdom. Most of our high-volume, labor-intensive manufacturing activities are performed at our facilities in Mexico, India, Indonesia and Malaysia.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manufacture products and provide follow-on services from offices located in these regions enables us to remain in close proximity to our customers, which is a key component of our global strategy.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global manufacturing organization has expertise in optoelectronics, microelectronics, and integrated electronics for industrial and automation, medical, aerospace and defense industry applications. Our manufacturing includes semiconductor silicon and laser wafer processing and fabrication, optoelectronic device assembly and screening, thin and thick film microelectronic hybrid assemblies, surface mount and through-hole printed circuit board electronic assemblies, cable and harness assemblies, LCD and TFT displays, box-build manufacturing, and flex and rigid - flex circuitry on a complete turnkey basis. To support our manufacturing operations, we outsource specific requirements, including sheet metal fabrication and molding of plastic components.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raw materials and subcomponents used in producing our security and inspection systems consist of X-ray generators, linear accelerators, detectors, data acquisition and computer systems, conveyance systems, vehicles, and miscellaneous mechanical and electrical components. A large portion of the optoelectronic devices, subsystems and circuit card assemblies used in our inspection systems are manufactured in-house. A large proportion of our X-ray generators, linear accelerators, computers and conveyance systems used in our cargo and vehicle inspection systems are purchased from unaffiliated third-party providers. We purchase high-power RF vacuum tubes from foreign and domestic 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raw materials and subcomponents used in producing our healthcare products consist of printed circuit boards, housings, mechanical assemblies, pneumatic devices, touch screens, medical grade displays, cables, filters, textiles, fabric, gauges, fittings, tubing and packaging materials. We purchase finished medical devices, computers, peripheral accessories, and remote displays from unaffiliated third-party providers.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raw materials and subcomponents used in producing our optoelectronic devices and electronic subsystems consist of semiconductor wafers, electronic components, light-emitting diodes, scintillation crystals, passive optical components, printed circuit boards, and packaging materials. The silicon-based optoelectronic devices we manufacture are critical components in most of our products and subsystems. We purchase silicon wafers and other electronic components from unaffiliated third-party providers.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cost, quality control, technological, and efficiency reasons, we purchase specific materials, parts, and components only from single vendors with whom we have ongoing relationships. We do, however, qualify alternative sources for many of our materials, parts, and components. We purchase most materials, parts, and components pursuant to purchase orders placed from time to time in the ordinary course of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Information Technology and Cybersecurity Risk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extensively on digital technology to conduct operations and engage with our customers and business partners. As the complexity of our engagements grows, so do the threats from cyber-intrusion, ransomware, denial of service, phishing, account takeover, data manipulation and other cyber-misconduct. To counter these threats, we have implemented an information security management system (ISMS) focused on data confidentiality, integrity, and availability. Our ISMS has been certified as ISO/IEC 27001-2022 compliant, and we engage independent third parties (ISO auditors and security compliance firms) to test and assess our cybersecurity controls annually. Similarly, we conduct external cyber-penetration testing annually to assess and improve our security posture and reduce cybersecurity risk. Through a combination of governance, risk, and compliance (GRC) resources, we also (i) proactively monitor IT controls to ensure compliance with legal and regulatory requirements, (ii) perform third-party risk management assessments, (iii) ensure essential business functions remain available during business disruptions, (iv) develop and update incident response plans to address potential weaknesses, and (v) maintain cyber-incident management and reporting procedures. Our ISMS and GRC processes are designed to prioritize IT and cybersecurity risk areas, identify solutions that minimize such risks, pursue optimal outcomes, and maintain compliance with contractual obligations. We maintain a global security operations center with the capability to investigate and trigger impact mitigation protocols in real-time. These capabilities allow us to reduce exposure should a security incident arise. For additional information regarding the risks associated with these matters, see Item 1A. “Risk Factors” and Item 1C. “Cybersecurity.”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Trademarks and Trade Names and Patents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Trademarks and Trade Names. </w:t>
      </w:r>
      <w:r>
        <w:rPr>
          <w:rFonts w:ascii="Times New Roman;Times;serif" w:hAnsi="Times New Roman;Times;serif"/>
          <w:sz w:val="20"/>
        </w:rPr>
        <w:t>We have used, registered and applied to register certain trademarks and service marks to distinguish our products, technologies and services from those of our competitors in the United States and in foreign countries. We monitor and, when necessary, enforce our trademark, service mark and trade name rights in the United States and abroad.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 xml:space="preserve">Patents. </w:t>
      </w:r>
      <w:r>
        <w:rPr>
          <w:rFonts w:ascii="Times New Roman;Times;serif" w:hAnsi="Times New Roman;Times;serif"/>
          <w:sz w:val="20"/>
        </w:rPr>
        <w:t xml:space="preserve">We possess rights to a number of U.S. and foreign patents relating to various aspects of our security and inspection products, healthcare products and optoelectronic devices and subsystems. Our current patents will expire at various times between 2026 and 2044. While we continue to file new applications and pursue new patents, it remains possible that pending patent applications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applications that may be filed may not result in issued patents. In addition, issued patents may not survive challenges to their validity or enforceability, or may be found to not be infringed by any third parties. Although we believe that our patents have value, our patents, or any additional patents that may be issued in the future, may not be able to provide meaningful protection from competition.</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trademarks and trade names and patents are important to our business. The loss of some of our trademarks or patents might have a negative impact on our financial results and operations. Nevertheless, with the exception of the loss of the Rapiscan</w:t>
      </w:r>
      <w:r>
        <w:rPr>
          <w:rFonts w:ascii="Times New Roman;Times;serif" w:hAnsi="Times New Roman;Times;serif"/>
          <w:sz w:val="15"/>
        </w:rPr>
        <w:t>®</w:t>
      </w:r>
      <w:r>
        <w:rPr>
          <w:rFonts w:ascii="Times New Roman;Times;serif" w:hAnsi="Times New Roman;Times;serif"/>
          <w:sz w:val="20"/>
        </w:rPr>
        <w:t xml:space="preserve"> or Spacelabs</w:t>
      </w:r>
      <w:r>
        <w:rPr>
          <w:rFonts w:ascii="Times New Roman;Times;serif" w:hAnsi="Times New Roman;Times;serif"/>
          <w:sz w:val="15"/>
        </w:rPr>
        <w:t>®</w:t>
      </w:r>
      <w:r>
        <w:rPr>
          <w:rFonts w:ascii="Times New Roman;Times;serif" w:hAnsi="Times New Roman;Times;serif"/>
          <w:sz w:val="20"/>
        </w:rPr>
        <w:t xml:space="preserve"> trademarks, the impact of the loss of any single trademark or patent would not likely have a material adverse effect on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 of Medical Devices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patient monitoring, cardiology and remote monitoring, and connected care systems we design, manufacture, and market are subject to regulation by numerous government agencies, principally the U.S. Food and Drug Administration (FDA), and by other federal, state, local and foreign authorities. These systems are also subject to various U.S. and foreign product performance and safety standards. Our medical device product candidates must undergo an extensive government regulatory clearance or approval process prior to sale in the United States and other countries, including submission demonstrating clinical safety and efficacy of intended use, as well as the continuing need for compliance with applicable laws and regulations. This may require significant interaction with regulatory agencies and the expenditure of substantial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United States FDA. </w:t>
      </w:r>
      <w:r>
        <w:rPr>
          <w:rFonts w:ascii="Times New Roman;Times;serif" w:hAnsi="Times New Roman;Times;serif"/>
          <w:sz w:val="20"/>
        </w:rPr>
        <w:t>In the United States, the FDA has broad regulatory powers with respect to preclinical and clinical testing of new medical devices and the designing, manufacturing, labeling, storage, record keeping, marketing, advertising, promotion, distribution, post-market monitoring and reporting and import and export of medical devices. Unless an exemption applies, federal law and FDA regulations require that all new or significantly modified medical devices introduced into the market be preceded either by a premarket notification clearance under section 510(k) of the Federal Food, Drug and Cosmetic Act (FFDCA), or an approved premarket approval (PMA) application. Under the FFDCA, medical devices are classified into one of three classes—Class I, Class II or Class III—depending on the degree of risk associated with each medical device and the extent of control needed to provide reasonable assurances with respect to safety and effectiveness. Class I devices are those for which safety and effectiveness can be reasonably assured by adherence to a set of regulations, referred to as General Controls, which require compliance with the applicable portions of the FDA’s Quality System Regulation (QSR) facility registration and product listing, reporting of adverse events and malfunctions and truthful and non-misleading promotional materials. Some Class I devices, also called Class I reserved devices, also require premarket clearance by the FDA through the 510(k) premarket notification process described below. Most Class I products are exempt from the premarket notification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Class II devices are those that are subject to the General Controls, as well as Special Controls as deemed necessary by the FDA, which can include performance standards, guidelines and post-market surveillance. Most Class II devices are subject to premarket review and clearance by the FDA. Premarket review and clearance by the FDA for Class II devices is accomplished through the 510(k) premarket notification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Class III devices include devices deemed by the FDA to pose the greatest risk such as life-supporting or life-sustaining devices, or implantable devices, in addition to those deemed not substantially equivalent following the 510(k) process. The safety and effectiveness of Class III devices cannot be reasonably assured solely by the General Controls and Special Controls described above. Therefore, these devices are typically subject to the PMA application process, which is more costly and time consuming than the 510(k) process and requires substantial clinical data. To date, all of the patient monitoring and cardiology and remote monitoring systems we manufacture and sell in the United States have required only 510(k) pre-market notification clearance.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pervasive and continuing post-approval governmental regulation, including, but not limited to, the registration and listing regulation, which requires manufacturers to register all manufacturing facilities and list all medical devices placed into commercial distribution; Quality System (also known as Good Manufacturing Practices) Regulations, which requires manufacturers, including third-party manufacturers, to follow stringent design, risk management, validation, testing, production, control, supplier and contractor selection, complaint handling, documentation and other quality assurance procedures during the manufacturing process; product and promotional labeling regulations; advertising and promotion requirements; restrictions on sale, distribution or use of a device; and the Medical Device Reporting (MDR) regulation, which requires that manufacturers report to the FDA if their device may have caused or contributed to a death or serious injury or malfunctioned in a way that would likely cause or contribute to a death or serious injury if it were to reoccur. Noncompliance with these standards can result in, among other things, fines, injunctions, civil penalties, recalls or seizures of products, total or partial suspension of production, refusal of the government to grant clearance or approval of devices, withdrawal of marketing approvals and criminal prosecutions. We believe that our design, manufacturing and quality control procedures comply with the FDA’s regulatory requirements. Our facilities, records and manufacturing processes are also subject to periodic scheduled and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2024, the U.S. Food and Drug Administration (FDA) issued a final rule revising the Quality System Regulation (QSR) to align more closely with ISO 13485:2016, now referred to as the Quality Management System Regulation (QMSR), which became effective on February 2,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undertaken activities to assess and update our quality management system to align with QMSR requirements. Because our quality management system was already substantially aligned with ISO 13485, we do not expect the transition to QMSR to have a material impact on our operations or compliance posture. However, failure to fully implement or maintain compliance with QMSR could result in regulatory enforcement actions, which could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Coverage and Reimbursement. </w:t>
      </w:r>
      <w:r>
        <w:rPr>
          <w:rFonts w:ascii="Times New Roman;Times;serif" w:hAnsi="Times New Roman;Times;serif"/>
          <w:sz w:val="20"/>
        </w:rPr>
        <w:t>Government and private sector initiatives to limit the growth of healthcare costs, including price regulation and competitive pricing, coverage and payment policies, comparative effectiveness therapies, technology assessments and managed care arrangements, are continuing in many countries where we do business, including the United States, Europe and Asia. As a result of these changes, the marketplace has placed increased emphasis on the delivery of more cost-effective medical therapies. In addition, because there is generally no separate reimbursement from third-party payers to our customers for many of our products, the additional costs associated with the use of our products can impact the profit margin of our customers. Accordingly, these various initiatives have created increased price sensitivity over healthcare products generally and may impact demand for our products and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Healthcare cost containment efforts have also prompted domestic hospitals and other customers of medical devices to consolidate into larger purchasing groups to enhance purchasing power, and this trend is expected to continue. The medical device industry has also experienced some consolidation, partly in order to offer a broader range of products to large purchasers. As a result, transactions with customers are larger, more complex and tend to involve more long-term contracts than in the past. These larger customers, due to their enhanced purchasing power, may attempt to increase the pressure on product pricing.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Other Healthcare Laws. </w:t>
      </w:r>
      <w:r>
        <w:rPr>
          <w:rFonts w:ascii="Times New Roman;Times;serif" w:hAnsi="Times New Roman;Times;serif"/>
          <w:sz w:val="20"/>
        </w:rPr>
        <w:t>In addition to FDA restrictions on marketing and promotion of drugs and devices, other federal and state laws restrict our business practices. These laws include, without limitation, data privacy and security laws, anti-kickback and false claims laws, and transparency laws regarding payments or other items of value provided to healthcare providers.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participant in the healthcare industry, we are subject to extensive regulations protecting the privacy and security of patient health information that we receive, including the Health Insurance Portability and Accountability Act of 1996, as amended by the Health Information Technology for Economic and Clinical Health Act of 2009, which was enacted as part of the American Recovery and Reinvestment Act of 2009 (collectively, “HIPAA”). Among other things, these regulations impose extensive requirements for maintaining the privacy and security of individually identifiable health information, known as “protected health information.” The HIPAA privacy regulations do not preempt state laws and regulations relating to personal information that may also apply to us. Our failure to comply with these regulations could expose us to civil and criminal sanctions.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HIPAA provisions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statutes or specific intent to violate them to have committed a violation. Also, many states have similar fraud and abuse statutes or regulations that may be broader in scope and may apply regardless of payer, in addition to items and services reimbursed under Medicaid and other state programs.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federal Anti-Kickback Statute prohibits, among other things, knowingly and willfully offering, paying, soliciting or receiving any remuneration (including any kickback, bribe or rebate), directly or indirectly, overtly or covertly, to induce or in return for the purchasing, leasing, ordering, or arranging for or recommending the purchase, lease or order of items or services for which payment may be made,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Further, a claim including items or services resulting from a violation of the federal Anti-Kickback Statute constitutes a false or fraudulent claim for purposes of the federal civil False Claims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federal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Medical device manufacturers have been held liable under these laws if they are deemed to cause the submission of false or fraudulent claims by, for example, providing customers with inaccurate billing or coding information. When an entity is determined to have violated the False Claims Act, it may be subject to repayment of three times the actual damages sustained by the government, plus significant mandatory civil penalties for each separate false claim. Suits filed under the False Claims Act can be brought by any individual on behalf of the government and such individuals (known as “relators” or, more commonly, as “whistleblowers”) may share in any amounts paid by the entity to the government in fines or settlement. These whistleblower - initiated False Claims Act cases are commonly referred to as “qui tam” actions. False Claims Act cases may also be initiated by the U.S. Department of Justice or any of its local U.S. Attorneys’ Offices. In addition, certain states have enacted laws modeled after the federal False Claims Act. Qui tam actions have increased significantly in recent years, causing greater numbers of healthcare companies to have to defend a false claim action, even before the validity of the claim is established and even if the government decides not to intervene in the lawsuit. Healthcare companies may decide to agree to large settlements with the government and/or whistleblowers to avoid the cost and negative publicity associated with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laws impact the kinds of financial arrangements we may have with hospitals or other potential purchasers of our products. They particularly impact how we structure our sales offerings, including pricing, customer support, education and training programs, physician consulting, research grants and other service arrangements. If our operations are found to be in violation of any of the health regulatory laws described above or any other laws that apply to us, we may be subject to material penalties, including potentially significant criminal and civil and administrative penalties, damages, fines, disgorgement, imprisonment, exclusion from participation in government healthcare programs, contractual damages, reputational harm, and the curtailment or restructuring of our operations, any of which could materially and adversely affect our ability to operate our business and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there has been a trend towards increased federal and state regulation of payments and other transfers of value provided to healthcare professionals or entities. The federal Physician Payment Sunshine Act requires that certain device manufacturers track and report to the government information regarding payments and other transfers of value to physicians, certain other clinical staff, and teaching hospitals, as well as ownership and investment interests held by physicians and their family members. A manufacturer’s failure to submit timely, accurately and completely the required information for all payments, transfers of value or ownership or investment interests may result in civil monetary penalties for “knowing failures.” Certain states also mandate implementation of compliance programs, impose restrictions on device manufacturer marketing practices and/or require the tracking and reporting of gifts, compensation and other remuneration to healthcare professionals and entities.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subject to similar laws in foreign countries where we conduct business. For example, within the EU, the control of unlawful marketing activities is a matter of national law in each of the member states. The member states of the EU closely monitor perceived unlawful marketing activity by companies. We could face civil, criminal, and administrative sanctions if any member state determines that we have breached our obligations under its national laws. Industry associations also closely monitor the activities of member companies. If these organizations or authorities name us as having breached our obligations under their regulations, rules or standards, our reputation would suffer, and our business and financial condition could be adversely affected.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Other Foreign Healthcare Regulations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also subject to regulation in the foreign countries in which we manufacture, market, and/or import our products. For example, the commercialization of certain products, including medical devices, in the EU is regulated under a system that presently requires all such products sold in the EU to bear the CE marking—an international symbol of adherence to the medical device regulations and standards of the EU. Our manufacturing facilities in Hawthorne, California; Snoqualmie, Washington; Johor Bahru, Malaysia; Batam, Indonesia; and Hyderabad, India are all certified to the International Organization for Standardization’s ISO 13485 standard for quality management. Our Hawthorne, California and Snoqualmie, Washington facilities are also certified to the requirements of Annex II, section 3 of the Directive 93/42/EEC on Medical Devices, which allows them to self-certify that manufactured products can bear the CE marking. Further, the implementation of the Restriction of Hazardous Substance Directive (“ROHS”) requires that certain products, including medical devices, shipped into the EU eliminate targeted ROHS substances.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International Medical Device Regulators Forum has implemented a global approach to auditing manufacturers of medical devices. This audit system, called the Medical Device Single Audit Program (“MDSAP”), provides for an annual audit of a medical device manufacturer by a certified body on behalf of various regulatory authorities. Current authorities participating in MDSAP include the Therapeutic Goods Administration of Australia, Brazil’s Agencia Nacional de Vigilancia Sanitaria, Health Canada, Japan’s Ministry of Health, Labour and Welfare, and the Japanese Pharmaceuticals and Medical Devices Agency and the FDA. It is expected that more regulatory authorities will participate in MDSAP in the future.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and other medical device manufacturers are confronted with major changes in the EU’s decades-old regulatory framework governing market access to the EU. The EU’s Medical Devices Regulation (“EU MDR”) has replaced the EU’s Medical Device Directive (93/42/EEC) and the EU’s Directive on active implantable medical devices (90/385/EEC). The EU MDR imposes stricter requirements for the marketing and sale of medical devices, including in the areas of clinical evaluation, quality systems and post-market surveillance, than the medical device directives replaced by the EU MDR.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Manufacturers of currently approved medical devices have a transition time to meet the requirements of the EU MDR with expiration of such transition time depending on the class of medical device being manufactured. The EU MDR differs in several important ways from the EU’s directives for medical devices and active implantable medical devices replaced thereby. The most significant changes in the regulations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medical devices covered under the EU MDR is significantly expanded to include devices that may not have a medical intended purpose, such as colored contact lenses. Also included in the scope of the regulation are devices designed for the purpose of “prediction and prognosis” of a disease or other health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 manufacturers are required to identify at least one person within their organization who is ultimately responsible for all aspects of compliance with the requirements of the EU MDR. The organization must document the specific qualifications of this individual relative to the required tasks.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MDR requires rigorous post-market oversight of medical devices.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MDR allows the EU Commission or expert panels to publish “Common Specifications,” such as requirements for technical documentation, risk management, or clinical evaluation.</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are to be reclassified according to risk, contact, duration, and invasiveness.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Systematic clinical evaluation is required for Class IIa and Class IIb medical devices.</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approved devices must be recertified in accordance with the EU MDR requirements.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team dedicated to updating and revising key systems, processes, and product technical documentation to meet the EU MDR requirements.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Environmental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various environmental laws, directives, and regulations pertaining to the use, storage, handling and disposal of hazardous substances used, and hazardous waste generated, in the manufacture of our products. Such laws mandate the use of controls and practices designed to mitigate the impact of our operations on the environment, and under such laws we may be held liable for the costs associated with the remediation and removal of any unintended or previously unknown releases of hazardous substances on, beneath or from our property and associated operations, including the remediation of hazardous waste disposed off-site. Such laws may impose liability without regard to whether we knew of, or caused, the release of such hazardous substances. Any failure by us to comply with present or future regulations could subject us to the imposition of substantial fines, suspension of production, alteration of manufacturing processes or cessation of operations, any of which could have a material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except to an extent that would not have a material adverse effect on our business, financial condition or results of operations, we are currently in compliance with all environmental regulations in connection with our manufacturing operations, and that we have obtained all environmental permits necessary to conduct our business. The amount and type of hazardous substances used, and hazardous waste generated, by us may increase in the future depending on changes in our operations. To ensure compliance and practice proper due diligence, we conduct appropriate environmental audits and investigations at our manufacturing facilities in North America, Asia Pacific, and Europe, and, to the extent practicable, on all new properties. Our manufacturing facilities conduct regular internal audits to ensure proper environmental permits and controls are in place to meet changes in operations. Third-party investigations address matters related to current and former occupants and operations, historical land use, and regulatory oversight and status of associated properties and operations (including surrounding properties). The purpose of these studies is to identify, as of the date of such report, potential areas of environmental concern related to past and present activities or from nearby operations. The scope and extent of each investigation is dependent upon the size, complexity and operation of the property and on recommendations by independent environmental consultants.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markets in which we operate are highly competitive and characterized by evolving customer needs and rapid technological change. We compete with other manufacturers, some of which have significantly greater financial, technical and marketing resources than we have. In addition, some competitors may have the ability to respond rapidly to new or emerging technologies, adapt more quickly to changes in customer requirements, have stronger customer relationships, have greater name recognition and devote greater resources to the development, promotion and sale of their products than we do. As a result, we may not be able to compete successfully against all designers and manufacturers of specialized electronic systems and components or within all markets for security and inspection systems, patient monitoring, cardiology and remote monitoring, or optoelectronic devices. Future competitive pressures may materially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security and inspection market, competition is based primarily on factors such as product performance specification standards, quality and reliability, maintenance and repair competency, government regulatory approvals and qualifications, the overall cost effectiveness of the system, prior customer relationships and reputation, technological capabilities of the products, price, local market presence, historical program execution experience, and breadth of sales and service organization. Competition results in price reductions and reduced margins and could result in loss of market share. Although our competitors offer products in competition with one or more of our products, we can supply a variety of system types and we offer among the widest arrays of security inspection solutions available from a single supplier. This variety of technologies also permits us to offer unique combinations and hybrid systems to our customers that utilize two or more of these technologies, thereby optimizing flexibility, performance and cost to meet each customer’s unique application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patient monitoring, cardiology and remote monitoring, clinical monitoring and connected care markets, competition is also based on a variety of factors including product performance, functionality, value and breadth of sales and service organization. Competition could result in price reductions, reduced margins and loss of our market share. We believe that our patient monitoring products are easier to use than the products of many of our competitors because we offer a consistent user interface throughout many of our product lines. We also believe that the capability of our monitoring systems to connect together, and to the hospital infrastructure, is a key competitive advantage. Further, while some of our competitors are also beginning to introduce portal technology, which allows remote access to data from the bedside monitor, central station or other point of care, we believe that our competing technologies bring valuable, instant access to labs, radiology and charting at the point of care. In the patient monitoring and connected care markets we face many large international players. Our competitive advantage in this market is via our solution delivery and workflow and communications software (SafeNSound) as well as our FDA cleared clinical decision support (Rothman Index) software. Our offering in this market in the USA uniquely addresses the needs of our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cardiology and remote monitoring our competitors are more regionally based. Our differentiators in these markets are our analyzer software solutions as well as our ambulatory blood pressure monitors.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markets where we operate, providing optoelectronic devices and electronics manufacturing services, our customers evaluate us and our competitors based on several key factors. These include expertise in the design and development of optoelectronic devices, product quality, timely delivery, pricing, technical support, and the ability to offer fully integrated services that span application development and design through to production. Because our custom optoelectronic components and subsystems require a high degree of engineering expertise, there are very few significant competitors in the United States, Europe, or Asia. The competition in the broader electronic manufacturing services market ranges from multinational corporations with sales exceeding several billion dollars to large regional competitors and small local assembly companies. In our experience, the OEM customers to whom we provide such services often prefer to engage companies that offer both local and lower-cost offshore facilities. Along with a number of domestic competitors for these services, our high-volume, low-cost contract manufacturing locations in Southeast Asia compete with other manufacturers in the same region.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measure our backlog as quantifiable purchase orders or contracts that have been signed, for which revenues are expected to be recognized within the next five years. In instances where we are not able to estimate the value of a purchase order or contract, they are not included in backlog.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ship most of our baggage and parcel inspection, people screening, trace detection, patient monitoring, cardiology, remote monitoring systems and optoelectronic devices and value-added subsystems within one to several months after receiving an order. However, such shipments may be delayed for a variety of reasons, including supply chain disruptions and any special design or requirements of the customer. In addition, large orders of security and inspection and RF transmission products and orders for our most complex systems typically require greater lead-times. Further, we provide turnkey screening services to certain customers for which we may recognize revenue over multi-year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cargo and vehicle inspection systems and our radio frequency transmission products may require more than a year of lead-time. We have experienced some significant delays associated with shipments of our cargo and vehicle inspection systems to certain customers. Such delays can occur for many reasons, including: (i) additional time necessary to coordinate and conduct factory inspections with the customer before shipment; (ii) a customer’s need to engage in time-consuming site construction projects to accommodate the system, over which we may have no control or responsibility; (iii) additional fine tuning of such systems once they are installed; (iv) design or specification changes by the customer; (v) time needed to obtain export licenses and/or letters of credit; (vi) delays originating from other contractors on the project; and (vii) shipping, logistics, and supply chain constraints.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our consolidated backlog totaled approximately $1.9 billion, compared to $1.8 billion as of June 30, 2025. Sales orders underlying our backlog are firm orders, although, from time to time we may agree to permit a customer to cancel an order, or an order may be cancelled for other reasons. Variations in the size of orders, product mix, or delivery requirements, among other factors, may result in substantial fluctuations in backlog from period to period. Backlog as of any particular date should not be relied upon as indicative of our revenues for any future period and should not be considered a meaningful indicator of our performance on an annual or quarterly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Human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strength and talent of our workforce are critical to the success of our businesses, and we strive to attract, develop and retain personnel commensurate with the needs of our businesses. Our human capital management priorities are designed to support the execution of our business strategy and improve organizational effectiveness. We contribute to our employees’ financial, health, and social well-being through competitive compensation structures, including a robust employee stock purchase program and retirement benefits, as well as health and well-being programs focused on promoting the physical and mental health of our workforce. We also strive to create opportunities for career development and growth. We provide training and development programs to foster connections, leadership competency, and team and individual development, and we have a tuition reimbursement program to encourage ongoing education.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understand the importance of a diverse workforce, and we are committed to upholding a culture of diversity, equity, and inclusion. We value the unique contributions of our employees, and we hold firm to the ideals of fairness, equal opportunity and mutual respect for all forms of diversity and differing abilities. We are committed to pay equity and protecting the rights of underrepresented groups within our organization, including women, racial and ethnic minorities, and members of the LGBTQ+ community. Our broader diversity strategies include focus at all levels of our organization, including senior management and our Board of Directors. As of June 30, 2026, 42.2% of our global workforce was female and 52.7% of our U.S. workforce was ethnically diverse.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we employed 7,806 people, of whom 4,708 were employed in manufacturing, 625 were employed in engineering or research and development, 703 were employed in administration, 347 were employed in sales and marketing and 1,423 were employed in service capacities. Of the total employees, 2,538 were employed in the Americas, 4,061 were employed in Asia and 1,207 were employed in Europe.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informational requirements of the Exchange Act. Therefore, we file periodic reports, proxy statements and other information with the SEC. The SEC maintains an internet website (http://www.sec.gov) that contains reports, proxy statements and other information that issuers are required to file electronically.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internet address is: http://www.osi-systems.com. The information found on, or otherwise accessible through, our website is not incorporated into, and does not form a part of this annual report on Form 10-K or any other report or document we file with or furnish to the SEC. We make available, free of charge through our internet website, our annual reports on Form 10-K, quarterly reports on Form 10-Q, current reports on Form 8-K, amendments to those reports filed or furnished pursuant to Section 13(a) or 15(d) of the Exchange Act, and reports filed pursuant to Section 16 of the Exchange Act, as soon as reasonably practicable after electronically filing such material with, or furnishing it to, the SEC. Also available on our website free of charge are our Corporate Governance Guidelines, the Charters of our Nominating and Governance, Audit, Compensation and Benefits, Technology, and Risk Management Committees of our Board of Directors and our Code of Ethics and Conduct (which applies to all members of our Board of Directors and employees, including our principal executive officer, principal financial officer and principal accounting officer). A copy of this annual report on Form 10-K is available without charge upon written request addressed to: c/o Secretary, OSI Systems, Inc., 12525 Chadron Avenue, Hawthorne, CA 90250 or by calling telephone number (310) 978-0516.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40"/>
        <w:ind w:left="0" w:right="0" w:hanging="0"/>
        <w:jc w:val="left"/>
        <w:rPr>
          <w:rFonts w:ascii="Times New Roman;Times;serif" w:hAnsi="Times New Roman;Times;serif"/>
          <w:b/>
          <w:sz w:val="20"/>
        </w:rPr>
      </w:pPr>
      <w:bookmarkStart w:id="33" w:name="RISKFACTORS_940365"/>
      <w:bookmarkStart w:id="34" w:name="ITEM1A_715954"/>
      <w:bookmarkStart w:id="35" w:name="ITEM1ARISKFACTORS_771718"/>
      <w:bookmarkStart w:id="36" w:name="_79b048c2_c7be_4c54_aeaf_bfd9872d216f"/>
      <w:bookmarkEnd w:id="33"/>
      <w:bookmarkEnd w:id="34"/>
      <w:bookmarkEnd w:id="35"/>
      <w:bookmarkEnd w:id="36"/>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Set forth below and elsewhere in this report and in other documents we file with the SEC are descriptions of the risks and uncertainties that could materially and adversely affect our business, financial condition and results of operations and could make an investment in our securities speculative or risky. We encourage you to carefully consider all such risk factors when making investment decisions regarding our company. If any such risks, or any other risks that we do not currently consider to be material, or which are not known to us, materialize, our business, financial condition and operating results could be materially adversely affected.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and Industry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If operators of, or algorithms installed on, our security and inspection systems fail to detect weapons, explosives or other devices or materials that are used to commit a</w:t>
      </w:r>
      <w:r>
        <w:rPr>
          <w:rFonts w:ascii="Times New Roman;Times;serif" w:hAnsi="Times New Roman;Times;serif"/>
          <w:sz w:val="20"/>
        </w:rPr>
        <w:t xml:space="preserve"> </w:t>
      </w:r>
      <w:r>
        <w:rPr>
          <w:rFonts w:ascii="Times New Roman;Times;serif" w:hAnsi="Times New Roman;Times;serif"/>
          <w:b/>
          <w:i/>
          <w:sz w:val="20"/>
        </w:rPr>
        <w:t xml:space="preserve">crime, terrorist act or other mass casualty event, we could be exposed to product and professional liability and related claims for which we may not have adequate insurance coverage. </w:t>
      </w:r>
      <w:r>
        <w:rPr>
          <w:rFonts w:ascii="Times New Roman;Times;serif" w:hAnsi="Times New Roman;Times;serif"/>
          <w:sz w:val="20"/>
        </w:rPr>
        <w:t>Our business exposes us to potential product liability risks that are inherent in the development, manufacturing, sale, maintenance and repair of security and inspection systems, software and threat detection algorithms, as well as in the provision of training to our customers in the use and operation of such systems. Our customers use our security and inspection systems to help them detect items that could be used in performing terrorist acts, mass casualty events or other crimes. Some of our security and inspection systems require that an operator interpret an image of suspicious items within a bag, parcel, container, vehicle or other vessel. Others rely on threat detection algorithms, or use such algorithms to signal to the operator that further investigation is recommended. The selection, training, supervision, reliability and competence of such operators are often crucial to the detection of suspicious items.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Security inspection systems that rely on threat detection algorithms or that use such algorithms to signal to the operator that further investigation is recommended are sometimes referred to in the security industry as “automatic” detection systems. If such a system were to fail to signal when an explosive, weapon or other contraband was present, resulting in loss of life or damage, we would be subject to risk of significant product liability claims. Security inspection by such technological means is circumstance and application-specific. Our security and inspection systems offer significant capabilities, but also have performance limitations and cannot be designed to reveal or detect contraband under all circumstances, particularly if criminal actors successfully conceal such items. They can also malfunction or underperform, including if not properly maintained or repaired.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offer various turnkey security screening solutions under which we perform some or all of the security screening tasks that have historically been performed by our customers, including the development, administration and performance of security screening procedures; operation of the security inspection systems; and analysis of images and information generated by such systems. Such projects expose us to professional liability risks that are inherent in performing security inspection services for the purpose of detecting contraband items, including items that could be used in performing terrorist acts, mass casualty events or other crimes. If a contraband item were to pass through the turnkey security services that we perform for a customer and be used to perform a terrorist act, mass casualty event or other crime, we would be subject to risk of significant professional liability claims for which adequate insurance coverage may not be available.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The loss of certain of our customers, including government agencies that can modify or terminate agreements more easily than other commercial customers with which we contract, the failure to continue to diversify our customer base or the non-renewal of certain material contracts could have a negative effect on our reputation and could have a material adverse effect on our business, financial condition and results of operations. </w:t>
      </w:r>
      <w:r>
        <w:rPr>
          <w:rFonts w:ascii="Times New Roman;Times;serif" w:hAnsi="Times New Roman;Times;serif"/>
          <w:sz w:val="20"/>
        </w:rPr>
        <w:t>We sell many of our products to prominent, well-respected institutions, including agencies and departments of the U.S. Government, state and local governments, foreign governments, renowned hospitals and hospital networks, and large military defense and space industry contractors. Many of these larger customers spend considerable resources testing and evaluating our products and our design and manufacturing processes and services. Some of our smaller customers know this and rely on this as an indication of the quality and reliability of our products and services. As a result, part of our reputation and success depends on our ability to continue to sell to larger institutions that are known for demanding high standards of excellence. The loss or termination of a contract by such an institution, even if for reasons unrelated to the quality of our products or services, could therefore have a more wide-spread and potentially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Our acquisition and alliance activities could result in disruption of our ongoing business and other operational difficulties, unrecoverable costs, and other negative consequences, any of which could adversely impact our financial condition and results of operations. </w:t>
      </w:r>
      <w:r>
        <w:rPr>
          <w:rFonts w:ascii="Times New Roman;Times;serif" w:hAnsi="Times New Roman;Times;serif"/>
          <w:sz w:val="20"/>
        </w:rPr>
        <w:t>We intend to continue to make investments in companies, products and technologies, either through acquisitions, investments or alliances. Acquisition and alliance activities often involve risks, including: (i) difficulty in assimilating the acquired operations and employees and realizing synergies; (ii) potential liabilities of, or claims against, an acquired company, some of which might not be known until after the acquisition; (iii) difficulty in managing product development activities with our alliance partners; (iv) difficulty in effectively coordinating sales and marketing efforts; (v) difficulty in combining product offerings and product lines quickly and effectively; (vi) difficulty in retaining the key employees of the acquired operation; (vii) disruption of our ongoing business, including diversion of management time; (viii) inability to successfully integrate the acquired technologies and operations into our businesses and maintain uniform standards, controls, policies and procedures; (ix) unanticipated changes in market or industry practices that adversely impact our strategic and financial expectations regarding an acquired company or acquired assets and require us to write off or dispose of such acquired company or assets; (x) lacking the experience necessary to enter into new product or technology markets successfully; and (xi) difficulty in integrating financial reporting systems and implementing controls, procedures and policies, including disclosure controls and procedures and internal control over financial reporting, appropriate for public companies of our size at companies that, prior to the acquisition, had lacked such controls, procedures and policies.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Integrating acquired businesses is complex, time consuming and expensive, and can negatively impact the effectiveness of our internal control over financial reporting. As a result of these and other risks, we cannot be certain that our acquisitions will be successful and will not materially adversely affect the conduct, operating results or financial condition of our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Substantial declines in crude oil prices or extended periods of low crude oil prices may adversely affect our business, financial condition, and results of operations. </w:t>
      </w:r>
      <w:r>
        <w:rPr>
          <w:rFonts w:ascii="Times New Roman;Times;serif" w:hAnsi="Times New Roman;Times;serif"/>
          <w:sz w:val="20"/>
        </w:rPr>
        <w:t>Some of our international customers have procurement budgets that are strongly correlated with fluctuations in the price of crude oil. Historically, the market for crude oil has been volatile and unpredictable. Crude oil prices are subject to rapid and significant fluctuations in response to global events and relatively minor changes in supply and demand. While factors relating the price of crude oil to demand for our products and services are complex, a period of depressed crude oil prices may adversely affect our business, financial condition, and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Unfavorable currency exchange rate fluctuations could adversely affect our financial results. </w:t>
      </w:r>
      <w:r>
        <w:rPr>
          <w:rFonts w:ascii="Times New Roman;Times;serif" w:hAnsi="Times New Roman;Times;serif"/>
          <w:sz w:val="20"/>
        </w:rPr>
        <w:t>Our international sales and our operations in foreign countries expose us to risks associated with fluctuating currency values and exchange rates. Gains and losses on the conversion of accounts receivable, accounts payable and other monetary assets and liabilities to U.S. dollars may contribute to fluctuations in our results of operations. We also use forward contracts which are intended to mitigate the impact of certain foreign currency exposures. These forward contracts may not completely offset foreign currency gains and losses. In addition, since we conduct business in currencies other than the U.S. dollar but report our financial results in U.S. dollars, increases or decreases in the value of the U.S. dollar relative to other currencies could have a material adverse effect on our business, financial condition and results of operations.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U.S. budgeting process disruptions could reduce government spending, which could adversely impact our revenues, earnings, cash flows and financial condition. </w:t>
      </w:r>
      <w:r>
        <w:rPr>
          <w:rFonts w:ascii="Times New Roman;Times;serif" w:hAnsi="Times New Roman;Times;serif"/>
          <w:sz w:val="20"/>
        </w:rPr>
        <w:t>Funding for U.S. federal Government activities takes place on an annual basis with the Government fiscal year beginning on October 1 and ending on September 30. In recent years, the budgeting process has often not been completed by October 1st, which has required the temporary extension of funding authority. This in turn can and has resulted in temporary Government shutdowns, causing delays in procurements and contract awards. Because the provision of appropriated funds is undertaken on an annual basis and subject to budgetary rules and requirements, there can be disruptions to federal funding of current and future procurements.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We face aggressive competition in each of our operating divisions. If we do not compete effectively, our business will be harmed. </w:t>
      </w:r>
      <w:r>
        <w:rPr>
          <w:rFonts w:ascii="Times New Roman;Times;serif" w:hAnsi="Times New Roman;Times;serif"/>
          <w:sz w:val="20"/>
        </w:rPr>
        <w:t>We encounter aggressive competition from numerous competitors in each of our divisions. In the security and inspection and patient monitoring and cardiology systems markets, competition is based primarily on such factors as product performance, functionality and quality, prior customer relationships, technological capabilities of the product, price, certification by government authorities, past performance, local market presence and breadth of sales and service organization. In the optoelectronic devices and electronics manufacturing markets, competition is based primarily on factors such as expertise in the design and development of optoelectronic devices, product quality, timeliness of delivery, price, customer technical support and on the ability to provide fully-integrated services from application development and design through volume subsystem production. We may not be able to compete effectively with all of our competitors. To remain competitive, we must develop new products and enhance our existing products and services in a timely manner. We anticipate that we may have to downward adjust the prices of many of our products to stay competitive. In addition, new competitors may emerge and entire product lines or service offerings may be threatened by new technologies or market trends that reduce the value of these product lines or service offerings. Our failure to compete effectively could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Healthcare cost containment pressures and legislative or regulatory reforms may affect our ability to sell our products profitably. </w:t>
      </w:r>
      <w:r>
        <w:rPr>
          <w:rFonts w:ascii="Times New Roman;Times;serif" w:hAnsi="Times New Roman;Times;serif"/>
          <w:sz w:val="20"/>
        </w:rPr>
        <w:t xml:space="preserve">Third-party payers globally are developing increasingly sophisticated methods of controlling healthcare costs which can limit the amount that healthcare providers may be willing to pay for medical devices. In the United States, hospital and other healthcare provider customers that purchase our products typically bill various third-party payers to cover all or a portion of the costs and fees associated with the procedures or tests in which our products are used and bill patients for any deductibles or copayments. Because there is often no separate reimbursement for our products, any decline in the amount payers are willing to reimburse our customers for the procedures and tests associated with our products could make it difficult for customers to continue using, or adopt, our products and create additional pricing pressure for us.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and we expect there will continue to be, legislative and regulatory proposals to change the healthcare system, and some could significantly affect the ways in which doctors, hospitals, healthcare systems and health insurance companies are compensated for the services they provide, which could have a material impact on our business. It is not clear at this time what changes may impact the ability of hospitals and hospital networks to purchase the patient monitoring, cardiology and remote monitoring, and connected care systems that we sell or if it will alter market-based incentives that hospitals and hospital networks currently face to continually improve, upgrade and expand their use of such equipment. Efforts by governmental and third-party payers to reduce healthcare costs or the implementation of new legislative reforms imposing additional government controls could cause a reduction in sales or in the selling price of our products, which could materially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Consolidation in the healthcare industry could have a material and adverse effect on our revenues and results of operations. </w:t>
      </w:r>
      <w:r>
        <w:rPr>
          <w:rFonts w:ascii="Times New Roman;Times;serif" w:hAnsi="Times New Roman;Times;serif"/>
          <w:sz w:val="20"/>
        </w:rPr>
        <w:t>The healthcare industry has been consolidating and organizations such as group purchasing organizations, independent delivery networks, and large single accounts continue to consolidate purchasing decisions for many of our healthcare provider customers. As a result, transactions with customers are larger, more complex and tend to involve more long-term contracts. The purchasing power of these larger customers has increased, and may continue to increase, causing downward pressure on product pricing. If we are not one of the providers selected by one of these organizations, we may be precluded from making sales to its members or participants. Even if we are one of the selected providers, we may be at a disadvantage relative to other selected providers that are able to offer volume discounts based on purchases of a broader range of products. Further, we may be required to commit to pricing that has a material adverse effect on our revenues and profit margins, business, financial condition and results of operations. We expect that market demand, governmental regulation, third-party reimbursement policies and societal pressures will continue to change the worldwide healthcare industry, resulting in further business consolidations and alliances, which may exert further downward pressure on the prices of our products and could materially and adversely impact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Technological advances and evolving regulatory standards could reduce our future product sales, which could cause our revenues to grow more slowly or decline. </w:t>
      </w:r>
      <w:r>
        <w:rPr>
          <w:rFonts w:ascii="Times New Roman;Times;serif" w:hAnsi="Times New Roman;Times;serif"/>
          <w:sz w:val="20"/>
        </w:rPr>
        <w:t>The markets for our products are characterized by rapidly changing technology, changing customer needs, evolving industry or regulatory standards and certifications and frequent new product introductions and enhancements. The emergence of new industry or regulatory standards and certification requirements may adversely affect the demand for our current products. In addition, any products or processes that we currently offer or plan to develop may become obsolete or uneconomical before we recover all or any of the expenses incurred in connection with their development. We cannot provide assurance that we will succeed in developing and marketing product enhancements or new products that respond to technological change, new industry standards, evolving customer requirements or competitive products on a timely and cost</w:t>
        <w:noBreakHyphen/>
        <w:t>effective basis. Additionally, even if we are able to develop new products and product enhancements to meet any such standards, we cannot provide assurance that they will be profitable or that they will achieve market acceptance. We also develop certain of our security inspection technologies to meet the certification requirements of various government regulatory agencies worldwide. Such standards change as threat and risk assessments evolve and as new technology becomes available within the industry, which enables regulators to demand performance improvements. We may not ultimately be able to develop, or develop in a timely way, solutions that meet the new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Certain of our government contracts are dependent upon our employees obtaining and maintaining required security clearances, as well as our ability to obtain security clearances for the facilities in which we perform sensitive government work. </w:t>
      </w:r>
      <w:r>
        <w:rPr>
          <w:rFonts w:ascii="Times New Roman;Times;serif" w:hAnsi="Times New Roman;Times;serif"/>
          <w:sz w:val="20"/>
        </w:rPr>
        <w:t>Certain of our government contracts require our employees to maintain various levels of security clearances, and we are required to maintain certain facility security clearances. If we cannot maintain or obtain the required security clearances for our facilities and our employees, or obtain these clearances in a timely manner, we may be unable to perform certain government contracts. Further, loss of a facility clearance, or an employee’s failure to obtain or maintain a security clearance, could result in a government customer terminating an existing contract or choosing not to renew a contract. Lack of required clearances could also impede our ability to bid on or win new government contracts. This could damage our reputation and adversely affect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could be subject to changes in tax rates, the adoption of new U.S. or international tax legislation, or exposure to additional tax liabilities. </w:t>
      </w:r>
      <w:r>
        <w:rPr>
          <w:rFonts w:ascii="Times New Roman;Times;serif" w:hAnsi="Times New Roman;Times;serif"/>
          <w:sz w:val="20"/>
        </w:rPr>
        <w:t>We are subject to taxes in the U.S. and numerous foreign jurisdictions. Tax rates in various jurisdictions may be subject to significant change due to economic and political conditions or otherwise. Our effective tax rates could be affected by changes in the mix of earnings in countries with differing statutory tax rates, changes in the valuation of deferred tax assets and liabilities, or adoption of new tax legislation or changes in tax laws or their interpretation. We are also subject to the examination of our tax returns and other tax matters by the U.S. Internal Revenue Service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and operating results could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Geopolitical instability and conflicts in the Middle East could adversely affect our operations, supply chain, and financial performance. </w:t>
      </w:r>
      <w:r>
        <w:rPr>
          <w:rFonts w:ascii="Times New Roman;Times;serif" w:hAnsi="Times New Roman;Times;serif"/>
          <w:sz w:val="20"/>
        </w:rPr>
        <w:t>Ongoing military conflict and political instability in the Middle East have created heightened uncertainty in global markets. Escalating hostilities in the region, including disruptions affecting key shipping lanes and energy-producing areas, may result in increased transportation costs, longer transit times, or interruptions in the availability of critical materials. These conditions could impair our ability to fulfill customer orders and maintain normal production schedules and could disrupt customer operations, procurement activities, and project timing. In addition, conflict-related volatility in global oil and gas markets may lead to higher input costs, inflationary pressure, and reduced customer demand in certain end markets. If the conflict expands geographically or intensifies, governments may impose new sanctions, export controls, or other regulatory restrictions that limit our ability to transact with certain suppliers, customers, or financial institutions.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rely on third-party logistics providers and carriers that operate in or near affected regions. Any disruption to their operations—including port closures, airspace restrictions, or rerouting of vessels—could materially affect our delivery timelines and cost structure. Because the duration and outcome of the conflict are uncertain, we may experience additional unforeseen impacts. Any of these factors, individually or collectively, could materially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cannot predict the consequences of current or future geopolitical events, but they may adversely affect the markets in which we operate and our results of operations. </w:t>
      </w:r>
      <w:r>
        <w:rPr>
          <w:rFonts w:ascii="Times New Roman;Times;serif" w:hAnsi="Times New Roman;Times;serif"/>
          <w:sz w:val="20"/>
        </w:rPr>
        <w:t>Ongoing instability and current conflicts in global markets, and the potential for other conflicts and future terrorist activities and other recent geopolitical events throughout the world, including the ongoing conflict between Russia and Ukraine and in the Middle East and its regional effects, and increased tensions in Asia,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 In addition, in connection with the current status of international relations with Russia, particularly in light of the conflict between Russia and Ukraine, the U.S. Government has imposed enhanced export controls on certain products and sanctions on certain industry sectors and parties in Russia. The governments of other jurisdictions in which we operate, such as the European Union and Canada, may also implement sanctions or other restrictive measures. These potential sanctions and export controls, as well as any responses from Russia, could adversely affect us and/or our supply chain, business partners, or customers.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Operational Risks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 xml:space="preserve">As a U.S. Government contractor, we are subject to extensive Federal procurement rules and regulations as well as contractual obligations that are unique to doing business with the U.S. Government. Non-compliance with any such rules, regulations or contractual obligations could negatively affect current programs, potential awards and our ability to do business with the U.S. Government in the future. </w:t>
      </w:r>
      <w:r>
        <w:rPr>
          <w:rFonts w:ascii="Times New Roman;Times;serif" w:hAnsi="Times New Roman;Times;serif"/>
          <w:sz w:val="20"/>
        </w:rPr>
        <w:t xml:space="preserve">U.S. Government contractors must comply with extensive procurement regulations and other requirements. In addition, U.S. Government contracts typically contain provisions and are subject to laws and regulations that provide government agencies rights not typically found in commercial contracts, including the ability to: (i) terminate, reduce the value of, or otherwise modify existing contracts; (ii) suspend or prohibit us from doing business with the government or a specific government agency; and (iii) claim rights in technologies and systems invented, developed or produced by us, in whole or in part, at the government’s expense. U.S. Government agencies and the agencies of many other governments with which we contract can terminate their contracts with us for convenience, and in that event, we generally may recover only our incurred costs and expenses on the work completed prior to termination. If an agency terminates a contract with us for default, we may be denied any recovery and may be liable for excess costs incurred by the agency in procuring undelivered items from an alternative source. Decisions by an agency to terminate one of our contracts for default could negatively affect our ability to win future awards not only from such agency, but also from other government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agencies and commercial customers, many of whom evaluate past performance, or are required to review past performance information, when making their procurement decisions. U.S. Government agencies may also initiate civil False Claims Act litigation against us based on allegations related to our performance of contracts for the U.S. Government, or to our compliance with procurement regulations and other legal requirements to which such contracts are subject, or both. Such litigation can be expensive to defend and if found liable can result in treble damages and significant civil penalties. The U.S. Government may also initiate administrative proceedings that, if resulting in an adverse finding against us or any of our subsidiaries as to our present responsibility to be a U.S. Government contractor or subcontractor, could result in our company or our subsidiaries being suspended for a period of time from eligibility for award of new government contracts or task orders or in a loss of export privileges and, if satisfying the requisite level of seriousness, in our debarment from contracting with the U.S. Government for a specified term as well as being subject to other remedies available to the U.S. Government. The occurrence of any of the foregoing events could result in a material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Due to the competitive process to obtain contracts and the likelihood of protests, we may be unable to achieve or sustain revenue growth and profitability. </w:t>
      </w:r>
      <w:r>
        <w:rPr>
          <w:rFonts w:ascii="Times New Roman;Times;serif" w:hAnsi="Times New Roman;Times;serif"/>
          <w:sz w:val="20"/>
        </w:rPr>
        <w:t>A significant portion of our business is generally awarded through a competitive bidding process, which involves substantial costs, including cost and time to prepare bids and proposals for contracts that may not be awarded to us, may be split among competitors or that may be awarded but for which we do not receive meaningful task orders.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revenues are dependent on orders of security and inspection systems, turnkey security screening solutions and patient monitoring and cardiology and remote monitoring systems, which may have lengthy and unpredictable sales cycles. </w:t>
      </w:r>
      <w:r>
        <w:rPr>
          <w:rFonts w:ascii="Times New Roman;Times;serif" w:hAnsi="Times New Roman;Times;serif"/>
          <w:sz w:val="20"/>
        </w:rPr>
        <w:t>Sales of security and inspection systems and turnkey security screening solutions often depend upon the decision of governmental agencies to upgrade or expand existing airports, border crossing inspection sites, seaport inspection sites, military facilities and other security installations. In the case of turnkey security screening solutions, the commencement of screening operations may be dependent on the approval, by a government agency, of the protocols and procedures that our personnel are to follow during the performance of their activities. In addition, turnkey screening solutions projects require that we hire and manage large numbers of local personnel in jurisdictions where we may not have previously operated. Sales outside of the United States of our patient monitoring and cardiology and remote monitoring systems depend in significant part on the decision of governmental agencies to build new medical facilities or to expand or update existing medical facilities. Accordingly, a significant portion of our sales of security and inspection systems, turnkey security screening solutions and our patient monitoring and cardiology and remote monitoring systems is often subject to delays associated with the lengthy approval processes. During these approval periods, we expend significant financial and management resources in anticipation of future revenues that may not occur. If we fail to receive such revenues after expending such resources, such failure could have a material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If we do not introduce new products in a timely manner, our products could become obsolete and our operating results would suffer. </w:t>
      </w:r>
      <w:r>
        <w:rPr>
          <w:rFonts w:ascii="Times New Roman;Times;serif" w:hAnsi="Times New Roman;Times;serif"/>
          <w:sz w:val="20"/>
        </w:rPr>
        <w:t>We sell many of our products in industries characterized by rapid technological changes, frequent new product and service introductions and evolving industry standards and customer needs. Without the timely introduction of new products and enhancements, our products could become technologically obsolete over time, in which case our revenue and operating results would suffer. The success of our new product offerings will depend upon several factors, including our ability to: (i) accurately anticipate customer needs; (ii) innovate and develop new technologies and applications; (iii) successfully commercialize new technologies in a timely manner; (iv) price our products competitively and manufacture and deliver our products in sufficient volumes and on time; and (v) differentiate our offerings from our competitors’ offerings. Some of our products are used by our customers to develop, test and manufacture their products. We therefore must anticipate industry trends and develop products in advance of the commercialization of our customers’ products. In developing any new product, we may be required to make a substantial investment before we can determine the commercial viability of the new product. If we fail to accurately foresee our customers’ needs and future activities, we may invest heavily in research and development of products that do not lead to significant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Increased prices for, and interruptions in our ability to purchase, raw materials and subcomponents may adversely affect our profitability. </w:t>
      </w:r>
      <w:r>
        <w:rPr>
          <w:rFonts w:ascii="Times New Roman;Times;serif" w:hAnsi="Times New Roman;Times;serif"/>
          <w:sz w:val="20"/>
        </w:rPr>
        <w:t>In recent years, inflation and supply chain constraints have resulted in increases in the prices we pay third parties for many of the subcomponents and raw materials used in our products. We generally do not have guaranteed long-term supply arrangements with our suppliers. In addition, for certain raw materials and subcomponents that we use, there are a limited number of potential suppliers that we have qualified or that we are currently able to qualify. Consequently, some of the key raw materials and subcomponents that we use are currently available to us only from a single vendor. The reliance on a single qualified vendor could result in delays in delivering products or increases in the cost of manufacturing the affected products. Any material interruption in our ability to purchase necessary raw materials or subcomponents or a significant increase in price of raw materials or subcomponents could adversely affect our ability to fulfill customer orders and therefore could ultimately have a material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contract with third parties that may be unable to fulfill contracts on time. </w:t>
      </w:r>
      <w:r>
        <w:rPr>
          <w:rFonts w:ascii="Times New Roman;Times;serif" w:hAnsi="Times New Roman;Times;serif"/>
          <w:sz w:val="20"/>
        </w:rPr>
        <w:t>We contract with third-party vendors to service our equipment in the field. In addition, some of these vendors maintain stocks of spare parts that are more efficiently accessed in conjunction with a service agreement than would be the case if we were to maintain such spare parts independently. Any material interruption in the ability of our vendors to fulfill such service contracts could adversely affect our ability to fulfill customer orders and therefore could ultimately have a material adverse effect on our business, financial condition and results of operations. Additionally, purchasers of our security and inspection systems and turnkey security screening solutions sometimes require the construction of the facilities that will house our systems and/or operations. We engage qualified construction firms to perform this work. However, if such firms experience delays, if they perform sub-standard work or if we fail to properly monitor the quality of their work or the timeliness of their progress, we may not be able to complete our construction projects on time. In any such circumstance, we could face the imposition of delay penalties and breach of contract claims by our customer. Any material delay caused by our construction firm subcontractors could therefore ultimately have a material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accumulate excess quantities or elevated inventory levels from time to time. </w:t>
      </w:r>
      <w:r>
        <w:rPr>
          <w:rFonts w:ascii="Times New Roman;Times;serif" w:hAnsi="Times New Roman;Times;serif"/>
          <w:sz w:val="20"/>
        </w:rPr>
        <w:t>Because of long lead times and specialized product designs, in certain cases we purchase components and manufacture products in anticipation of customer orders based on customer forecasts. For a variety of reasons, such as decreased end-user demand for our products or other factors, our customers might not purchase all the products that we have manufactured or for which we have purchased components. If we are unsuccessful in recouping our material and manufacturing costs, this could have a material adverse effect on our business, financial condition and results of operations. In addition, because of the complex customer acceptance criteria associated with some of our products, on some occasions, the title of which or risk of loss has passed to our customers are still included in our inventory until revenue recognition criteria are met. As a result, inventory levels are elevated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Economic, political, legal, operational and other risks associated with international sales and operations could adversely affect our financial performance. </w:t>
      </w:r>
      <w:r>
        <w:rPr>
          <w:rFonts w:ascii="Times New Roman;Times;serif" w:hAnsi="Times New Roman;Times;serif"/>
          <w:sz w:val="20"/>
        </w:rPr>
        <w:t>Our businesses are subject to risks associated with doing business internationally. Many of our manufacturing facilities, and therefore employees, suppliers, real property, capital equipment, cash and other assets are located outside the United States. Accordingly, our future results could be harmed by a variety of factors, including without limitation: (i) changes in foreign currency exchange rates; (ii) changes in a country’s or region’s political or economic conditions, particularly in developing or emerging markets; (iii) political and economic instability, including the possibility of civil unrest, terrorism, mass violence or armed conflict; (iv) geopolitical events, wars and military conflicts; (v) longer payment cycles of foreign customers and difficulty of collecting receivables in foreign jurisdictions; (vi) imposition of domestic and international taxes, export controls, tariffs, embargoes, sanctions, trade disputes, and other trade restrictions; (vii) difficulty in staffing and managing widespread operations; (viii) difficulty in managing distributors and sales agents and their compliance with applicable laws; (ix) changes in a foreign government’s budget, leadership and national priorities; (x) increased legal risks arising from differing legal systems; and (xi) compliance with export control and anticorruption legislation.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enactment of tariffs by the U.S. Government, along with the unpredictability of the rates and other potential actions that may be taken by the U.S. Government and foreign governments (including trade restrictions, new or increased tariffs or quotas, reciprocal tariffs, embargoes, sanctions and counter sanctions, safeguards or customs restrictions) may materially increase our costs and reduce our margins. These actions may also lead to higher pricing for our products, potentially reducing consumer demand and impacting our sales. We are actively monitoring the impact of any tariffs that become effective, as well as potential retaliatory actions by other countries. We are currently taking actions to mitigate this cost pressure, including accelerating, increasing or canceling inventory, further diversifying suppliers and re-sourcing to countries with lower tariffs, working with longstanding factory partners to reduce costs, identifying further cost reductions across our business, planning for strategic price increases and pursuing potential tariff refunds. However, there can be no assurance that we will be able to implement any strategies in a timely fashion, that these measures will be successful, or that they will offset the negative impact of the tariffs and other government actions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the uncertainty regarding scope and duration of the current and potential tariffs, as well as the potential for additional trade actions by the U.S. or other countries, the specific impact to our business, results of operations, cash flows and financial condition is uncertain but could be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There are inherent risks associated with operations in Mexico. </w:t>
      </w:r>
      <w:r>
        <w:rPr>
          <w:rFonts w:ascii="Times New Roman;Times;serif" w:hAnsi="Times New Roman;Times;serif"/>
          <w:sz w:val="20"/>
        </w:rPr>
        <w:t>We are currently in the process of fulfilling agreements to provide cargo and vehicle inspection systems and related services to government customers in Mexico. The following are certain risks to operating in Mexico that could adversely impact our operations and have a material adverse effect on our business, financial condition and results of operations: (i) ability of key suppliers and subcontractors to fulfill obligations on a timely basis; (ii) cooperation of various departments of the Mexican government in issuing permits, and inspecting our operations on a timely basis; (iii) receipt of payments in a timely manner; (iv) significant penalties in the event of our late delivery or non-performance; (v) termination or change in scope of program at the election of the Mexican government; (vi) regional political and economic instability; (vii) high rate of crime in Mexico where we conduct operations; (viii) change in the value of the Mexican peso; and (ix) changes in administration of various departments in the Mexican government associated with our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operations are vulnerable to interruption or loss due to natural disasters, epidemics or pandemics such as COVID-19, terrorist acts and other events beyond our control, which could adversely impact our operations. </w:t>
      </w:r>
      <w:r>
        <w:rPr>
          <w:rFonts w:ascii="Times New Roman;Times;serif" w:hAnsi="Times New Roman;Times;serif"/>
          <w:sz w:val="20"/>
        </w:rPr>
        <w:t>Although we perform manufacturing in multiple locations, we generally do not have redundant manufacturing capabilities in place for any particular product or component. As a result, we depend on our current facilities for the continued operation of our business. A natural disaster, epidemic or pandemic, terrorist act, act of war, civil unrest, or other natural or manmade disaster affecting any of our facilities could significantly disrupt our operations, or delay or prevent product manufacturing and shipment for the time required to repair, rebuild, or replace our manufacturing facilities. This delay could be lengthy and we could incur significant expenses to repair or replace the facilities. Any similar natural or manmade disaster that affects a key supplier or customer could lead to a similar disruption in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Any recall of our products, either voluntarily or at the direction of the FDA or another governmental authority, or the discovery of serious safety issues with our products that leads to corrective actions, could have a material adverse impact on us. </w:t>
      </w:r>
      <w:r>
        <w:rPr>
          <w:rFonts w:ascii="Times New Roman;Times;serif" w:hAnsi="Times New Roman;Times;serif"/>
          <w:sz w:val="20"/>
        </w:rPr>
        <w:t>All medical devices can experience performance problems that require review and possible corrective action by us or a component supplier. Component failures, manufacturing errors, noncompliance with quality system requirements or good manufacturing practices, design defects, software defects or labeling inadequacies in any device could result in an unsafe condition or injury to the patient. The FDA and similar foreign governmental authorities have the authority to require the recall of commercialized products in the event of material deficiencies or defects in design or manufacture of a product or if a product poses an unacceptable risk to health. Manufacturers may also, under their own initiative, stop shipment or recall a product if any material deficiency is found or withdraw a product to improve device performance or for other reasons. A government mandated or voluntary recall by us could occur as a result of an unacceptable risk to health, component failures, manufacturing errors, noncompliance with good manufacturing practices or quality system requirements, design or labeling defects or other deficiencies and issues. Similar regulatory agencies in other countries have similar authority to recall products because of material deficiencies or defects in design or manufacture that could endanger health. A recall involving our products could be particularly harmful to our business, financial and operating results. In addition, under the FDA’s medical device reporting regulations, we are required to report to the FDA any incident in which our product may have caused or contributed to a death or serious injury or in which our product malfunctioned and, if the malfunction were to recur, would likely cause or contribute to death or serious injury. A future recall announcement could harm our reputation with customers and negatively affect our sales. In addition, the FDA or a foreign governmental authority could take enforcement action for failing to report the recalls when they were conducted.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on the corrective action we take to redress a product’s deficiencies or defects, the FDA or applicable foreign regulatory authority may require, or we may decide, that we will need to obtain new approvals or clearances for the device before we may market or distribute the corrected device. Seeking such approvals or clearances may delay our ability to replace the recalled devices in a timely manner. Moreover, we may face additional regulatory enforcement action, including FDA warning letters, product seizure, injunctions, administrative penalties, civil penalties or criminal fines. We may also be required to bear other costs or take other actions that may have a negative impact on our sales as well as face material adverse publicity or regulatory consequences, which could harm our business, including our ability to market our products in the future. Any adverse event involving our products, whether in the United States or abroad, could result in future voluntary corrective actions, such as recalls or customer notifications, or agency action, such as inspection, mandatory recall, orders of repair, replacement or refund or other enforcement action. Any corrective action, whether voluntary or involuntary, as well as defending ourselves in a lawsuit, will require the dedication of our time and capital and may harm our reputation and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rely on third parties and our own systems for interaction with our customers and suppliers and employees, and a failure of a key information technology system, process or site or any other failure or interruption in the services provided by these third parties or our own systems could have a material adverse impact on our ability to conduct business. </w:t>
      </w:r>
      <w:r>
        <w:rPr>
          <w:rFonts w:ascii="Times New Roman;Times;serif" w:hAnsi="Times New Roman;Times;serif"/>
          <w:sz w:val="20"/>
        </w:rPr>
        <w:t>We rely extensively on our information technology systems and systems and services provided by third parties to interact with our employees and our customers and suppliers. These interactions include, but are not limited to, ordering and managing materials from suppliers, converting materials to finished products, shipping product to customers, processing transactions, summarizing and reporting results of operations, transmitting data used by our service personnel and by and among our wide-spread personnel and facilities, complying with regulatory, legal and tax requirements, and other processes necessary to manage our business. We do not control our third-party service providers and we do not maintain redundant systems for some of such services, increasing our vulnerability to problems with such services. If the systems on which we rely are damaged or cease to function properly due to any number of causes, ranging from failures of our third-party service providers to catastrophic events, to power outages, to security breaches, we may suffer interruptions in our ability to manage operations which may adversely impact our business, results of operations and/or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suppliers, or other third parties; our products and services may be subject to potential cyber-attacks or other information technology vulnerabilities. </w:t>
      </w:r>
      <w:r>
        <w:rPr>
          <w:rFonts w:ascii="Times New Roman;Times;serif" w:hAnsi="Times New Roman;Times;serif"/>
          <w:sz w:val="20"/>
        </w:rPr>
        <w:t>We manage and store proprietary, sensitive and confidential data related to our business operations. We may be subject to cyber-attacks and breaches of the information technology systems we use for these purposes. Threat actors may be able to penetrate our network and application security and misappropriate or compromise our confidential information or that of third parties, create system disruptions, or cause operational harm. Hackers may also be able to deploy viruses, worms, malware, ransomware and other malicious software programs that attack our systems or otherwise exploit security vulnerabilities in our systems or products. In addition, sophisticated hardware and operating system software and applications that we produce or procure from third parties may contain defects in design or manufacturing, including “vulnerabilities,” “bugs” and other problems that could unexpectedly interfere with the operation of our systems or products. Cyber-threats vary in technique, are persistent, frequently change, and increasingly are more sophisticated, targeted, and difficult to detect or prevent. We expend significant capital and resources to protect against the threat of security breaches, including cyber-attacks, viruses, worms, malware, ransomware and other malicious software programs. Substantial additional expenditures may be required before or after a cyber-attack to mitigate or alleviate problems caused by unauthorized access, theft of data stored within our information systems, or the introduction of computer malware or ransomware to our environment. Our remediation efforts may not be successful, and there could be interruptions, delays, or cessation of service due to cyber-attacks or other data security breaches.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often identify attempts to gain unauthorized access to our systems. Given the rapidly evolving nature and proliferation of cyber-threats, there can be no assurance that our employee training, operational, and other technical security measures or other controls will detect, prevent or remediate security or data breaches in a timely manner or otherwise prevent unauthorized access, damage, or interruption of our systems and operations. We are likely to face attempted cyber-attacks in the future. Cyber threat activity is expected to accelerate as adversaries increasingly leverage AI to enhance attack sophistication and scale. Accordingly, we may be vulnerable to losses associated with the improper functioning, security breach, or unavailability of our information systems as well as any systems used in acquired operations. In addition, breaches of our security measures and the unapproved use or disclosure of proprietary information or sensitive or confidential data about us or our suppliers, customers or other third parties could expose us or any such affected third party to a risk of loss or misuse of this information, result in litigation and potential liability for us, damage our brand and reputation or otherwise harm our business, even if we were not responsible for the breach. Furthermore, we are exposed to additional risks because we rely in certain capacities on third-party software, data management, and cloud service providers with possible security problems and security vulnerabilities beyond our control. Media or other reports of perceived security vulnerabilities to our systems or those of our third-party suppliers, even if no breach has been attempted or occurred, could adversely impact our brand and reputation and materially and adversely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and services may also be at risk of cyber-attacks and security breaches. While we design and build security measures into our products and services, once installed and implemented at customer sites those measures may not prevent all cybersecurity attacks targeted against their networks and datacenters, such as the unauthorized access, capture, or alteration of information; the exposure or exploitation of potential security vulnerabilities; distributed denial of service attacks; the installation of malware or ransomware; acts of vandalism; computer viruses; or misplaced data or data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significant actual or perceived (whether or not valid) theft, loss, fraudulent use or misuse of customer, employee, or other personally identifiable data, whether by us, our partners and vendors, or other third parties, or as a result of employee error or malfeasance or otherwise, non-compliance with applicable industry standards or our contractual or other legal obligations regarding such data, or a violation of our privacy and information security policies with respect to such data, could result in costs, fines, litigation, or regulatory actions against us. Such an event could additionally result in unfavorable publicity and therefore materially and adversely affect the market’s perception of the security and reliability of our products and services and our credibility and reputation with our customers. Given increasing cybersecurity threats, there can be no assurance that we will not experience business interruptions, data loss, ransom, misappropriation, or corruption or theft or misuse of proprietary information or related litigation and investigation, any of which could have a material adverse effect on our financial condition and results of operations and harm our business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Delays, costs, and disruptions that result from upgrading, integrating and maintaining the security of our information and technology networks and systems could materially and adversely affect us. </w:t>
      </w:r>
      <w:r>
        <w:rPr>
          <w:rFonts w:ascii="Times New Roman;Times;serif" w:hAnsi="Times New Roman;Times;serif"/>
          <w:sz w:val="20"/>
        </w:rPr>
        <w:t>We are dependent on information technology networks and systems, including Internet and Internet-based or “cloud” computing services, to collect, process, transmit, and store electronic information. We are currently modernizing and upgrading our information technology systems while also simultaneously integrating systems from our various acquisitions, including making changes to legacy systems, and replacing some legacy systems with new and advanced functionality. While upgrading and implementing changes to any one of our systems could present challenges, the age of our systems and architecture may present unique challenges that we have not previously encountered as we undertake these efforts. There are inherent costs and risks associated with integrating, replacing and changing these systems and implementing new systems, including potential disruption of our sales and operations, potential disruption of our internal control structure, substantial capital expenditures, additional administration and operating expenses, demands on management time, securing our systems along with dependent processes from cybersecurity threats, and other risks and costs of delays or difficulties in transitioning to new systems or of integrating new systems into our current systems. The implementation of or delay in implementing new information technology systems may also cause disruptions in our business operations and impede our ability to comply with constantly evolving laws, regulations and industry standards addressing information and technology networks, privacy and data security, any of which could have a material adverse effect on our business, financial condition,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inability to successfully manage the implementation of a company-wide enterprise resource planning (“ERP”) system could adversely affect our operating results. </w:t>
      </w:r>
      <w:r>
        <w:rPr>
          <w:rFonts w:ascii="Times New Roman;Times;serif" w:hAnsi="Times New Roman;Times;serif"/>
          <w:sz w:val="20"/>
        </w:rPr>
        <w:t>We are in the process of implementing a new company-wide ERP system. This process has been and continues to be complex and time-consuming, and we expect to incur additional capital outlays and expenses. This ERP system will modernize and replace many of our existing operating and financial systems, which is a major undertaking from a financial management and personnel perspective. Should the new ERP system not be implemented successfully throughout all our business units, be significantly delayed or over-budget or if the system does not perform in a satisfactory manner, it could be disruptive and adversely affect our operations, including our potential ability to report accurate, timely and consistent financial results, our ability to purchase supplies, components and raw materials from suppliers, and our ability to timely deliver products and services to customers and/or collect receivables from them. If the new ERP system is not successfully and fully implemented, it could negatively affect our financial reporting, inventory management, future sales, profitability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credit facility contains provisions that could restrict our ability to finance our future operations or engage in other business activities that may be in our interest. </w:t>
      </w:r>
      <w:r>
        <w:rPr>
          <w:rFonts w:ascii="Times New Roman;Times;serif" w:hAnsi="Times New Roman;Times;serif"/>
          <w:sz w:val="20"/>
        </w:rPr>
        <w:t>Our credit facility contains a number of significant covenants that, among other things, limit our ability to: (i) dispose of assets; (ii) incur certain additional indebtedness; (iii) repay certain indebtedness; (iv) create liens on assets; (v) pay dividends on our common stock; (vi) make certain investments, loans and advances; (vii) repurchase or redeem capital stock; (viii) make certain capital expenditures; (ix) engage in acquisitions, mergers or consolidations; and (x) engage in certain transactions with subsidiaries and affiliates. These covenants could limit our ability to plan for or react to market conditions, finance our operations, engage in strategic acquisitions or disposals or meet our capital needs or could otherwise restrict our activities or business plans. Our ability to comply with these covenants may be affected by events beyond our control. In addition, our credit facility also requires us to maintain compliance with certain financial ratios. Our inability to comply with the required financial ratios or covenants could result in an event of default under our credit facility. A default, if not cured or waived, may permit acceleration of our indebtedness. In addition, our lenders could terminate their commitments to make further extensions of credit under our credit facility. If our indebtedness is accelerated, we cannot be certain that we will have sufficient funds to pay the accelerated indebtedness or that we will have the ability to refinance accelerated indebtedness on terms favorable to us or at all. If we are not able to refinance existing indebtedness on acceptable terms, our ability to finance our operations, engage in strategic acquisitions, and otherwise meet our capital needs would be significantly impaired. As further discussed in Note 8, we amended and extended our credit facility in July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Shares of our common stock issuable upon conversion of the 2.25% Convertible Senior Notes due 2029 (the “2029 Notes”) or the 0.50% Convertible Senior Notes due 2031 (the “2031 Notes”), collectively the “Notes”, may dilute the ownership interest of our stockholders or may adversely affect the market price of our common stock.</w:t>
      </w:r>
      <w:r>
        <w:rPr>
          <w:rFonts w:ascii="Times New Roman;Times;serif" w:hAnsi="Times New Roman;Times;serif"/>
          <w:sz w:val="20"/>
        </w:rPr>
        <w:t xml:space="preserve"> The conversion of any portion of the Notes may dilute the ownership interests of our stockholders. Upon conversion of the Notes, the default settlement method is a combination settlement with a specified dollar amount of $1,000 per $1,000 principal amount of notes and shares of our common stock as described in Note 8. Any sales in the public market of our common stock issuable upon such conversion could adversely affect prevailing market prices of our common stock. Also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indebtedness (including the Notes) could limit the cash flow available for our operations, expose us to risks that could adversely affect our business, financial condition and results of operations and impair our ability to satisfy our debt obligations, including the Notes. </w:t>
      </w:r>
      <w:r>
        <w:rPr>
          <w:rFonts w:ascii="Times New Roman;Times;serif" w:hAnsi="Times New Roman;Times;serif"/>
          <w:sz w:val="20"/>
        </w:rPr>
        <w:t>Our indebtedness could have significant negative consequences for our security holders and our business, results of operations and financial condition by, among other things: (i) increasing our vulnerability to adverse economic and industry conditions; (ii) limiting our ability to obtain additional financing; (iii) requiring the dedication of a substantial portion of our cash flow from operations to service our indebtedness, which will reduce the amount of cash available for other purposes; (iv) limiting our flexibility to plan for, or react to, changes in our business; and (v) placing us at a possible competitive disadvantage with competitors that are less leveraged than us or have better access to capital. Our business may not generate sufficient funds, and we may otherwise be unable to maintain sufficient cash reserves, to pay amounts due under our indebtedness, including the Notes, and our cash needs may increase in the future. If we fail to comply with debt covenants or to make payments under our indebtedness when due, then we would be in default under that indebtedness, which could, in turn, result in such indebtedness and our other indebtedness becoming immediately payable in full.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may be unable to raise the funds necessary to repurchase the Notes for cash following a fundamental change, or to pay the cash amounts due upon conversion, and our other indebtedness may limit our ability to repurchase the Notes or pay cash upon their conversion. </w:t>
      </w:r>
      <w:r>
        <w:rPr>
          <w:rFonts w:ascii="Times New Roman;Times;serif" w:hAnsi="Times New Roman;Times;serif"/>
          <w:sz w:val="20"/>
        </w:rPr>
        <w:t>Noteholders may, subject to a limited exception, require us to repurchase their Notes following a fundamental change (as defined in the Convertible Note Indenture) at a cash repurchase price generally equal to the principal amount of the Notes to be repurchased, plus accrued and unpaid interest, if any, to, but excluding, the related fundamental change repurchase date. In addition, all conversions of Notes require the principal amount to be settled in cash.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existing credit facility contains certain limitations on cash payments for the conversion, redemption or repurchase of the Notes, including compliance with certain leverage ratios on a pro forma basis after giving effect to such cash payments. Our failure to repurchase Notes or pay the cash amounts due upon conversion when required will constitute a default under the Note Indenture. A default under the Note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Provisions in the Note Indenture could delay or prevent an otherwise beneficial takeover of us. </w:t>
      </w:r>
      <w:r>
        <w:rPr>
          <w:rFonts w:ascii="Times New Roman;Times;serif" w:hAnsi="Times New Roman;Times;serif"/>
          <w:sz w:val="20"/>
        </w:rPr>
        <w:t>Certain provisions in the Notes and the Note Indenture could make a third-party attempt to acquire us more difficult or expensive. For example, if a takeover constitutes a fundamental change, then, subject to certain exceptions, noteholders will have the right to require us to repurchase their 2029 Notes for cash. In addition, if a takeover constitutes a make-whole fundamental change, then we may be required to temporarily increase the conversion rate. In either case, and in other cases, our obligations under the Notes and the Note Indenture could increase the cost of acquiring us or otherwise discourage a third party from acquiring us or removing incumbent management, including in a transaction that noteholders or holders of our common stock may view as favorable.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The accounting method for the Notes could adversely affect our reported financial condition and results. </w:t>
      </w:r>
      <w:r>
        <w:rPr>
          <w:rFonts w:ascii="Times New Roman;Times;serif" w:hAnsi="Times New Roman;Times;serif"/>
          <w:sz w:val="20"/>
        </w:rPr>
        <w:t>The accounting method for reflecting the Notes on our balance sheet, accruing interest expense for the 2029 Notes and potential inclusion of underlying shares of our common stock in our reported diluted earnings per share may adversely affect our reported earnings and financial condition. In accordance with applicable accounting standards, the Notes are reflected as a liability on our balance sheets, with the initial carrying amount equal to the principal amount of the Notes, net of issuance costs. The issuance costs are treated as a debt discount for accounting purposes, which are being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In addition, the shares underlying the Notes will be reflected in our diluted earnings per share using the “if converted” method. Under that method, the potential common shares issuable upon conversion of the Notes will have a net impact on diluted earnings per share when the average price of our common stock exceeds the conversion price because the principal amount of the Notes will be settled in cash upon conversion, then we will calculate our diluted earnings per share assuming that all of the Notes were converted at the beginning of the reporting period and that we issued shares of our common stock to settle the excess. The after-tax interest expense associated with the Notes will not be added back to the numerator of the diluted earnings per share calculation for these purposes. The application of the if-converted method may reduce our reported diluted earnings per share, and accounting standards may change in the future in a manner that may adversely affect our diluted earnings per share. 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and Regulatory Risks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 xml:space="preserve">The Support Anti-terrorism by Fostering Effective Technologies Act of 2002 (SAFETY Act) may not shield us against legal claims we may face following an act of terrorism. </w:t>
      </w:r>
      <w:r>
        <w:rPr>
          <w:rFonts w:ascii="Times New Roman;Times;serif" w:hAnsi="Times New Roman;Times;serif"/>
          <w:sz w:val="20"/>
        </w:rPr>
        <w:t xml:space="preserve">The SAFETY Act provides important legal liability protections for providers of qualified anti-terrorism products and services. Under the SAFETY Act, providers, such as our Security division, may apply to the U.S. Department of Homeland Security for coverage of their products and services. If granted coverage, such providers receive certain legal protections against product liability, professional liability and certain other claims that could arise following an act of terrorism. We have applied to the U.S. Department of Homeland Security for many of the products and services offered by our Security division, but we do not enjoy coverage under the SAFETY Act (or the highest level of coverage) for every product line, model number and service offering that our Security division provides. Also, the terms of the SAFETY Act coverage decisions awarded to us by the U.S. Department of Homeland Security restrict coverage to specific model numbers, software, and options within our product lines, sales to specific customers, and impose various other limitations, and contain conditions and requirements that we may not continue to satisfy in the future. Delays by the U.S. Department of Homeland Security in granting coverage and in our ability to meet the evolving standards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SAFETY Act application process has and may in the future continue to result in coverage limitations for our products and services. If we fail to maintain SAFETY Act protections for each of our product models, options, offerings, software and services, or fail to apply in a timely way for coverage for new products, models, and services as we acquire or introduce them, or if the U.S. Department of Homeland Security limits the scope of any coverage previously awarded to us, denies us coverage or continued coverage for a particular product, product line, model, option, offering, software feature, or service, or delays in making decisions about whether to grant us coverage, we may become exposed to legal claims that the SAFETY Act was otherwise designed to prevent. Moreover, the SAFETY Act was not designed to shield providers of qualified anti-terrorism products and services from all types of claims that may arise from acts of terrorism, including from many types of claims lodged in courts outside of the United States or acts of terrorism that occur outside of the United States, which exposes us to legal claims and litigation defense costs despite the SAFETY Act awards we have received.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patient monitoring, cardiology and remote monitoring, and connected care systems could give rise to product liability claims and product recall events that could materially and adversely affect our financial condition and results of operations. </w:t>
      </w:r>
      <w:r>
        <w:rPr>
          <w:rFonts w:ascii="Times New Roman;Times;serif" w:hAnsi="Times New Roman;Times;serif"/>
          <w:sz w:val="20"/>
        </w:rPr>
        <w:t>The development, manufacturing and sale of medical devices expose us to significant risk of product liability claims, product recalls and, sometimes, product failure claims. We face an inherent business risk of financial exposure to product liability claims if the use of our medical devices results in personal injury or death. Substantial product liability litigation currently exists within the medical device industry. Some of our patient monitoring, cardiology and remote monitoring, and connected care products may become subject to product liability claims and/or product recalls. Future product liability claims and/or product recall costs may exceed the limits of our insurance coverages, or such insurance may not continue to be available to us on commercially reasonable terms, or at all. In addition, a significant product liability claim or product recall could significantly damage our reputation for producing safe, reliable and effective products, making it more difficult for us to market and sell our products in the future. Consequently, a product liability claim, product recall or other claim could have a material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global operations expose us to legal compliance risks related to certain anti-bribery and anti-corruption laws. </w:t>
      </w:r>
      <w:r>
        <w:rPr>
          <w:rFonts w:ascii="Times New Roman;Times;serif" w:hAnsi="Times New Roman;Times;serif"/>
          <w:sz w:val="20"/>
        </w:rPr>
        <w:t>We are required to comply with the U.S. Foreign Corrupt Practices Act, which prohibits United States companies from engaging in bribery or making other prohibited payments to foreign officials for the purpose of obtaining or retaining business. It also requires us to maintain specific record-keeping standards and adequate internal accounting controls. In addition, we are subject to similar requirements in other countries. Bribery, corruption, and trade laws and regulations, and the enforcement thereof, are increasing in frequency, complexity and severity on a global basis. Although we have internal policies and procedures with the intention of assuring compliance with these laws and regulations, our employees, distributors, resellers and contractors involved in our international sales may take actions in violations of such policies. If our internal controls and compliance program do not adequately prevent or deter our employees, distributors, resellers, contractors and/or other third parties with which we do business from violating anti-bribery, anti-corruption or similar laws and regulations, we may incur severe fines, penalties and reputational damage.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are subject to import and export controls that could subject us to liability or impair our ability to compete in international markets. </w:t>
      </w:r>
      <w:r>
        <w:rPr>
          <w:rFonts w:ascii="Times New Roman;Times;serif" w:hAnsi="Times New Roman;Times;serif"/>
          <w:sz w:val="20"/>
        </w:rPr>
        <w:t>Due to the international scope of our operations, we are subject to a complex system of import - and export-related laws and regulations, including U.S. export control and customs regulations and customs regulations of other countries. These regulations are complex and vary among the legal jurisdictions in which we operate. Any alleged or actual failure to comply with such regulations may subject us to government scrutiny, investigation, and civil and criminal penalties, and may limit our ability to import or export our products or to provide services outside the United States. Depending on severity, any of these penalties could have a material impact on our business, financial condition and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 xml:space="preserve">Our business is subject to complex and evolving U.S. and international laws and regulation regarding privacy and data protection. If we fail to meet our compliance obligations under applicable privacy and data protection regulations, even if such compliance by us is inadvertent, or if we are unable to comply with changes to such requirements, we might be subject to fines, legal disputes, or other liabilities that could have a material adverse effect on our financial condition and results of operations. </w:t>
      </w:r>
      <w:r>
        <w:rPr>
          <w:rFonts w:ascii="Times New Roman;Times;serif" w:hAnsi="Times New Roman;Times;serif"/>
          <w:sz w:val="20"/>
        </w:rPr>
        <w:t xml:space="preserve">Regulatory authorities around the world are considering legislative and regulatory proposals concerning data protection, and the interpretation and application of data protection laws in the U.S., the EU, and elsewhere are often uncertain and in flux. These laws may be interpreted and applied in a manner that is inconsistent with our data practices. If our data practices are found to be in conflict with privacy and data protection laws or regulations, we could face fines or orders requiring that we change our data practices, which could have an adverse effect on our business, financial condition and results of operations. We must comply with extensive federal and state requirements regarding the use, retention, security, and re-disclosure of patient healthcare information. HIPAA and the regulations that have been issued under it contain substantial restrictions and complex requirements with respect to the use and disclosure of certain individually identifiable health information, referred to as “protected health information”. Any failure or perceived failure of our Company or our products to meet HIPAA standards and related regulatory requirements could expose us to certain notification, penalty, and enforcement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risks, damage our reputation, and adversely affect demand for our products and force us to expend significant capital and other resources to address the privacy and security requirements of HIPAA.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there are other federal laws that include specific privacy and security obligations for certain types of health information and impose additional sanctions and penalties. All 50 states, the District of Columbia, Guam, Puerto Rico, and the Virgin Islands have enacted legislation requiring notice to individuals of security breaches involving protected health information, which is not uniformly defined among the breach notification laws. Organizations must review each state’s definitions, mandates, and notification requirements and timelines to appropriately prepare and notify affected individuals and government agencies, including the attorney general, in compliance with such state laws. Further, most states have enacted patient confidentiality laws that protect against the disclosure of confidential medical information, and many states have adopted or are considering adopting further legislation in this area. These state laws may be more stringent than HIPAA requirements. California passed the California Consumer Privacy Act which came into effect January 1, 2020 and was amended and expanded by the California Privacy Rights Act, or CPRA, which came into effect on January 1, 2023, which imposes significant changes in data privacy regulation, and New York has passed the Stop Hacks and Improve Electronic Data Security Act, which expands the state’s existing privacy laws. GDPR, a regulation implemented in the EU on data protection and privacy for all individuals in the EU and the EEA, applies to all enterprises, regardless of location, that are doing business in the EU or that collect and analyze data tied to EU and EEA residents. GDPR creates a range of compliance obligations, including stringent technical and security controls surrounding the storage, use, and disclosure of personal information, and significantly increases financial penalties for noncompliance.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are facing an increasingly complex international regulatory environment which is constantly changing and if we fail to comply with international regulatory requirements, or are unable to comply with changes to such requirements, our financial performance may be harmed. </w:t>
      </w:r>
      <w:r>
        <w:rPr>
          <w:rFonts w:ascii="Times New Roman;Times;serif" w:hAnsi="Times New Roman;Times;serif"/>
          <w:sz w:val="20"/>
        </w:rPr>
        <w:t>Our international operations and sales subject us to an international regulatory environment which is becoming increasingly complex and is constantly changing due to factors beyond our control. Risks associated with our international operations and sales include, without limitation, those arising from differing: (i) legal and court systems and changes to such systems; (ii) labor laws and changes in those laws; (iii) tax laws and changes in those laws; (iv) environmental laws and changes in those laws; (v) laws governing our distributors and sales agents and changes in those laws; (vi) protection of intellectual property and changes in that protection; and (vii) differing import and export requirements and changes to those requirements. If we fail to comply with applicable international regulatory requirements our financial performance may be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Substantial government regulation in the United States and abroad may restrict our ability to sell our patient monitoring, cardiology and remote monitoring, and connected care systems, and failure to comply with such laws and regulations may have a material adverse impact on our business. </w:t>
      </w:r>
      <w:r>
        <w:rPr>
          <w:rFonts w:ascii="Times New Roman;Times;serif" w:hAnsi="Times New Roman;Times;serif"/>
          <w:sz w:val="20"/>
        </w:rPr>
        <w:t>The FDA and comparable regulatory authorities in foreign countries extensively and rigorously regulate our patient monitoring, cardiology and remote monitoring, and connected care systems, including the research and development, design, testing, clinical trials, manufacturing, clearance or approval, safety and efficacy, labeling, advertising, promotion, pricing, recordkeeping, reporting, import and export, post-approval studies and sale and distribution of these products. In the United States, before we can market a new medical device, or a new use of, new claim for, or significant modification to, an existing product, we must first receive clearance under Section 510(k) of the Federal Food, Drug and Cosmetic Act as discussed under Part I, Item 1, “Business - Regulation of Medical Devices.” Some modifications made to products cleared through a 510(k) may require a new 510(k). The FDA can delay, limit or deny clearance or approval of a device for many reasons.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products may not obtain FDA clearance on a timely basis, or at all. Further, the FDA makes periodic inspections of medical device manufacturers and in connection with such inspections issues observations when the FDA believes the manufacturer has failed to comply with applicable regulations. If FDA observations are not addressed to the FDA’s satisfaction, the FDA may issue a warning letter or proceed directly to other forms of enforcement action, which could include the shutdown of our production facilities, adverse publicity, and civil and criminal penalties. The expense and costs of any corrective actions that we may take, which may include product recalls, correction and removal of products from customer sites and/or changes to our product manufacturing and quality systems, could adversely impact our financial results. Issuance of a warning letter may also lead customers to delay purchasing decisions or cancel orders.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patient monitoring, cardiology and remote monitoring, and connected care systems must also comply with the laws and regulations of foreign countries in which we develop, manufacture and market such products. In general, the extent and complexity of medical device regulation is increasing worldwide. This trend is likely to continue, and the cost and time required to obtain marketing clearance in any given country may increase as a result. Our products may not obtain any necessary foreign clearances on a timely basis, or at all. Once any of our patient monitoring, cardiology and remote monitoring, or connected care systems is cleared for sale, regulatory authorities may still limit the use of such product, prevent its sale or manufacture or require a recall or withdrawal of such product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marketplace. Following initial clearance from regulatory authorities, we continue to be subject to extensive regulatory requirements. Government authorities can withdraw marketing clearance or impose sanctions due to our failure to comply with regulatory standards or due to the occurrence of unforeseen problems following initial clearance. Ongoing regulatory requirements are wide-ranging and govern, among other things: (i) annual inspections to retain a CE mark for sale of products in the EU; (ii) product manufacturing; (iii) patient health data protection and medical device security; (iv) supplier substitution; (v) product changes; (vi) process modifications; (vii) medical device reporting; and (viii) product sales and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Legislative or regulatory reforms such as the EU Medical Devices Regulation may make it more difficult and costly for us to obtain certification, regulatory clearance, or approval of any future products and to manufacture, market, and distribute our products after certification, clearance, or approval is obtained. </w:t>
      </w:r>
      <w:r>
        <w:rPr>
          <w:rFonts w:ascii="Times New Roman;Times;serif" w:hAnsi="Times New Roman;Times;serif"/>
          <w:sz w:val="20"/>
        </w:rPr>
        <w:t>The EU MDR introduced substantial changes to the obligations with which medical device manufacturers must comply in the EEA. High - risk medical devices are subject to additional scrutiny during the conformity assessment procedure. The EU MDR is directly applicable, without the need for adoption by EEA country laws implementing them, in all EEA countries and intended to eliminate current differences in regulation of medical devices among EEA countries. The EU MDR, among other things, is intended to establish a uniform, transparent, predictable and sustainable regulatory framework across the EEA for medical devices to ensure a high level of safety and health while supporting innovation. The EU MDR imposes a number of new requirements on manufacturers of medical devices and imposes increased compliance obligations for us to access the EEA market. Our failure to comply with applicable foreign regulatory requirements, including those administered by authorities of the EEA countries, could result in enforcement actions against us and impair our ability to market products in the EEA in the future. Any changes to the membership of the EU, such as the departure of the United Kingdom under Brexit, may impact the regulatory requirements for impacted countries and impair our business operations and our ability to market products in such countries. For further discussion of the EU MDR, see Part I, Item 1, “Business - Regulation of Medical Devices.”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We may be subject to fines, penalties, injunctions, or other enforcement actions if we are determined to be promoting the use of our products for unapproved or “off label” uses, resulting in damage to our reputation and business. </w:t>
      </w:r>
      <w:r>
        <w:rPr>
          <w:rFonts w:ascii="Times New Roman;Times;serif" w:hAnsi="Times New Roman;Times;serif"/>
          <w:sz w:val="20"/>
        </w:rPr>
        <w:t>Our promotional materials and training methods must comply with FDA and other applicable laws and regulations, including the prohibition of the promotion of a medical device for a use that has not been cleared or approved by the FDA known as “off label” use. If the FDA determines that our promotional materials or training constitutes promotion of an off label use, it could request that we modify our training or promotional materials or subject us to regulatory or enforcement actions, including the issuance of warning letters, untitled letters, fines, penalties, consent decrees, injunctions, or seizures, which could have an adverse impact on our reputation and financial results. We could also be subject to enforcement action under other federal or state laws, including the False Claims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failure to comply with federal, state, and foreign laws and regulations relating to our healthcare business could have a material and adverse effect on our business. </w:t>
      </w:r>
      <w:r>
        <w:rPr>
          <w:rFonts w:ascii="Times New Roman;Times;serif" w:hAnsi="Times New Roman;Times;serif"/>
          <w:sz w:val="20"/>
        </w:rPr>
        <w:t>Although we do not provide healthcare services, submit claims for third-party reimbursement or receive payments directly from Medicare, Medicaid or other third-party payers for our products, we are subject to healthcare fraud and abuse regulation and enforcement by federal and state governments. Healthcare fraud and abuse and health information privacy and security laws potentially applicable to our operations are discussed in Part I, Item 1, “Business – Regulation of Medical Devices.” The risk of our being found in violation of these laws and regulations is increased because many of them have not been fully interpreted by the regulatory authorities or the courts, and their provisions are open to a variety of interpretations. Moreover, health care reform legislation has strengthened these laws. For example, the Affordable Care Act, among other things, amended the intent requirement of the federal Anti Kickback Statute and criminal health care fraud statutes; a person or entity no longer needs to have actual knowledge of these statutes or specific intent to violate them to have committed a violation. In addition, the Affordable Care Act provided that the government may assert that a claim including items or services resulting from a violation of the federal Anti Kickback Statute constitutes a false or fraudulent claim for purposes of the False Claims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the breadth of these laws and the narrowness of the statutory exceptions and safe harbors available under such laws, it is possible that some of our business activities could be subject to challenge under one or more of such laws. Any action against us for violation of these laws could cause us to incur significant legal expenses and divert our management’s attention from the operation of our business. If our operations are found to be in violation of any of the laws described above or any other governmental regulations that apply to us, we may be subject to penalties, including civil and criminal penalties, damages, fines, exclusion from governmental health care programs, disgorgement, contractual damages, reputational harm, diminished profits and future earnings, and the curtailment or restructuring of our operations, any of which could impair our ability to operate our business, financial condition and our financial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Evolving expectations around corporate responsibility practices, specifically related to environmental, social and governance (“ESG”) matters, may expose us to reputational and other risks. </w:t>
      </w:r>
      <w:r>
        <w:rPr>
          <w:rFonts w:ascii="Times New Roman;Times;serif" w:hAnsi="Times New Roman;Times;serif"/>
          <w:sz w:val="20"/>
        </w:rPr>
        <w:t>Stockholders, customers, suppliers and other third parties are increasingly focusing on ESG and corporate social responsibility endeavors and reporting. Certain institutional investors, investment funds, and other influential investors are also increasingly focused on ESG practices. Companies that do not adapt to or comply with evolving stakeholder expectations and standards, or which are perceived to have not responded appropriately, may suffer from reputational damage and may suffer a material adverse effect on its business or financial condition or stock price. Further, increased focus on ESG issues may result in new regulations or third-party requirements that could materially and adversely impact our business or result in certain stockholders reducing or eliminating their holdings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regulators, including the European Union and the State of California, have adopted, or are considering adopting, regulations regarding ESG matters, including, but not limited to, climate change-related matters. Such regulatory approaches are not uniform, which may increase the cost and complexity of compliance. Addressing stakeholder expectations, including regulations, entails costs and any failure to successfully navigate such expectations may result in reputational harm, loss of customers or contracts, potential regulatory or investor engagement, or other adverse impacts to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Significant inflation and increasing interest rates could materially and adversely affect our business and financial results. </w:t>
      </w:r>
      <w:r>
        <w:rPr>
          <w:rFonts w:ascii="Times New Roman;Times;serif" w:hAnsi="Times New Roman;Times;serif"/>
          <w:sz w:val="20"/>
        </w:rPr>
        <w:t xml:space="preserve">The current inflation rate could materially and adversely affect us by increasing our operating costs, including our materials, freight, and labor costs. In a highly inflationary environment, we may be unable to raise the sales prices of our products to match the rate of inflation or our increasing operating costs, which could reduce our profit margins and have a material and adverse effect on our financial performance. Further, pressures from inflation could negatively impact the willingness and ability of our customers to purchase our products in the same volumes as have been purchased in the past or are currently being purchased. As interest rates rise to address inflation or otherwise, such increases will impact the base rates applicable in our credit arrangements and will result in borrowed funds becoming more expensive to us over time. These financing pressures also can have a negative impact on customers’ willingness to purchase our products in the same volumes as previously purchased. We also use forward contracts which are intended to mitigate the impact of certain foreign currency exposures. These forward contracts may not completely offset foreign currency gains and losses.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Our insurance coverage may be inadequate to cover all significant risk exposures. </w:t>
      </w:r>
      <w:r>
        <w:rPr>
          <w:rFonts w:ascii="Times New Roman;Times;serif" w:hAnsi="Times New Roman;Times;serif"/>
          <w:sz w:val="20"/>
        </w:rPr>
        <w:t xml:space="preserve">We maintain insurance for certain risks, and we believe our insurance coverage is consistent with general practices within our industry. However, the amount of our insurance coverage may not cover all claims or liabilities and we may be forced to bear substantial costs. Consistent with market conditions in the insurance industry, premiums and deductibles for some of our insurance policies have been increasing and may continue to increase in the future. In some instances, some types of insurance may become available only for reduced amounts of coverage, if at all. In addition, there can be no assurance that our insurers would not challenge coverage for certain claims. If we were to incur a significant liability for which we were not fully insured or that our insurers disputed, it could have a material adverse effect on our business, financial condition and results of operations.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 xml:space="preserve">We are involved in various litigation matters, which could have a material adverse effect on our business, financial condition or operating results. </w:t>
      </w:r>
      <w:r>
        <w:rPr>
          <w:rFonts w:ascii="Times New Roman;Times;serif" w:hAnsi="Times New Roman;Times;serif"/>
          <w:sz w:val="20"/>
        </w:rPr>
        <w:t>Litigation can be lengthy, expensive and disruptive to our operations, and can divert our management’s attention away from the running of our business. Claims arising out of actual or alleged violations of law could be asserted against us by individuals, either individually or through class actions, or by governmental entities in investigations and proceedings. If we are unsuccessful in our defense in litigation matters, or any other legal proceeding, we may be forced to pay damages or fines, some of which may be in excess of our insurance coverage, and/or change our business practices, any of which could have a material adverse effect on our business, financial condition and results of operations. For more information about our litigation matters, see “Legal Proceedings” and Note 11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37" w:name="ITEM1BUNRESOLVEDSTAFFCOMMENTS_279140"/>
      <w:bookmarkStart w:id="38" w:name="_948f211f_e8e2_47f8_a7a4_355b8273395d"/>
      <w:bookmarkEnd w:id="37"/>
      <w:bookmarkEnd w:id="38"/>
      <w:r>
        <w:rPr>
          <w:rFonts w:ascii="Times New Roman;Times;serif" w:hAnsi="Times New Roman;Times;serif"/>
          <w:b/>
          <w:sz w:val="20"/>
        </w:rPr>
        <w:t>ITEM 1B. 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bookmarkStart w:id="39" w:name="ITEM1CCYBERSECURITY_493663"/>
      <w:bookmarkStart w:id="40" w:name="_922e7e7f_64a2_4324_b2ec_36510f473ef9"/>
      <w:bookmarkEnd w:id="39"/>
      <w:bookmarkEnd w:id="40"/>
      <w:r>
        <w:rPr>
          <w:rFonts w:ascii="Times New Roman;Times;serif" w:hAnsi="Times New Roman;Times;serif"/>
          <w:b/>
          <w:sz w:val="20"/>
        </w:rPr>
        <w:t>ITEM 1C. CYBERSECURITY</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0"/>
        </w:rPr>
        <w:t>We maintain high standards with respect to cybersecurity and our cybersecurity risk management program is integrated</w:t>
      </w:r>
      <w:r>
        <w:rPr>
          <w:rFonts w:ascii="Times New Roman;Times;serif" w:hAnsi="Times New Roman;Times;serif"/>
          <w:sz w:val="24"/>
        </w:rPr>
        <w:t xml:space="preserve"> </w:t>
      </w:r>
      <w:r>
        <w:rPr>
          <w:rFonts w:ascii="Times New Roman;Times;serif" w:hAnsi="Times New Roman;Times;serif"/>
          <w:sz w:val="20"/>
        </w:rPr>
        <w:t>into our enterprise risk management framework, overseen by our Information Security Officer (“ISO”), meaning that cyber-risks are identified, evaluated, and managed with the same rigor as other strategic, operational, and financial risks. We have adopted the National Institute of Standards and Technology (NIST) Cybersecurity Framework principles as a guide for our security controls and processes, helping us structure our activities around identifying potential threats, protecting systems, detecting incidents, responding to events, and recovering operations. We engage independent third-party cybersecurity auditors and testers</w:t>
      </w:r>
      <w:r>
        <w:rPr>
          <w:rFonts w:ascii="Times New Roman;Times;serif" w:hAnsi="Times New Roman;Times;serif"/>
          <w:sz w:val="24"/>
        </w:rPr>
        <w:t xml:space="preserve"> </w:t>
      </w:r>
      <w:r>
        <w:rPr>
          <w:rFonts w:ascii="Times New Roman;Times;serif" w:hAnsi="Times New Roman;Times;serif"/>
          <w:sz w:val="20"/>
        </w:rPr>
        <w:t>annually to review our Information Security Management (ISMS) and renew our ISO/IEC 27001 certification. Key elements of our program include:</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Preventive Controls and Monitoring</w:t>
            </w:r>
            <w:r>
              <w:rPr>
                <w:rFonts w:ascii="Times New Roman;Times;serif" w:hAnsi="Times New Roman;Times;serif"/>
                <w:b w:val="false"/>
                <w:i w:val="false"/>
                <w:caps w:val="false"/>
                <w:smallCaps w:val="false"/>
                <w:sz w:val="20"/>
              </w:rPr>
              <w:t>: We employ multiple layers of technical controls (firewalls, intrusion detection systems, encryption, and multi-factor authentication) and proactively monitor these controls to ensure compliance with security policies, legal regulations, contractual obligations and industry best practices. Our Global Security Operations Center operates 24/7 with real-time monitoring capabilities to rapidly investigate alerts and trigger containment measures, which helps us minimize exposure or damage if a cybersecurity incident occurs.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Vulnerability Management and Testing</w:t>
            </w:r>
            <w:r>
              <w:rPr>
                <w:rFonts w:ascii="Times New Roman;Times;serif" w:hAnsi="Times New Roman;Times;serif"/>
                <w:b w:val="false"/>
                <w:i w:val="false"/>
                <w:caps w:val="false"/>
                <w:smallCaps w:val="false"/>
                <w:sz w:val="20"/>
              </w:rPr>
              <w:t xml:space="preserve">: We conduct regular vulnerability assessments and annual external penetration testing of our systems and applications to probe for weaknesses. We also perform periodic exercises simulating cybersecurity incidents to test our defenses and response procedures. Findings from these tests are used to strengthen our security posture on an ongoing basis.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Incident Response Planning</w:t>
            </w:r>
            <w:r>
              <w:rPr>
                <w:rFonts w:ascii="Times New Roman;Times;serif" w:hAnsi="Times New Roman;Times;serif"/>
                <w:b w:val="false"/>
                <w:i w:val="false"/>
                <w:caps w:val="false"/>
                <w:smallCaps w:val="false"/>
                <w:sz w:val="20"/>
              </w:rPr>
              <w:t xml:space="preserve">: We maintain a cybersecurity incident response plan that defines procedures for addressing security events. This plan is updated and tested regularly (including through tabletop drills and simulated breach exercises) so that our teams remain practiced in incident handling. In the event of an incident, our aim is to respond swiftly to contain the issue, notify appropriate stakeholders, investigate the root cause, and recover normal operations as soon as practicable.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Third-Party Risk Management</w:t>
            </w:r>
            <w:r>
              <w:rPr>
                <w:rFonts w:ascii="Times New Roman;Times;serif" w:hAnsi="Times New Roman;Times;serif"/>
                <w:b w:val="false"/>
                <w:i w:val="false"/>
                <w:caps w:val="false"/>
                <w:smallCaps w:val="false"/>
                <w:sz w:val="20"/>
              </w:rPr>
              <w:t>: We carefully manage cybersecurity risks arising from our use of third-party software, cloud services, and suppliers.</w:t>
            </w:r>
            <w:r>
              <w:rPr>
                <w:caps w:val="false"/>
                <w:smallCaps w:val="false"/>
              </w:rPr>
              <w:t xml:space="preserve"> </w:t>
            </w:r>
            <w:r>
              <w:rPr>
                <w:rFonts w:ascii="Times New Roman;Times;serif" w:hAnsi="Times New Roman;Times;serif"/>
                <w:b w:val="false"/>
                <w:i w:val="false"/>
                <w:caps w:val="false"/>
                <w:smallCaps w:val="false"/>
                <w:sz w:val="20"/>
              </w:rPr>
              <w:t xml:space="preserve">We perform due diligence and security risk assessments on critical third-party service providers, both at onboarding and periodically during the relationship. Our procurement and legal teams work together to incorporate robust cybersecurity requirements into contracts with vendors (for example, data protection standards and incident notification obligations). Where appropriate, we require suppliers to adhere to our security policies or industry standards, and we conduct ongoing monitoring or audits of their security controls. These steps help reduce the risk that a weakness in a partner’s systems could compromise our data or operations.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Employee Training and Awareness</w:t>
            </w:r>
            <w:r>
              <w:rPr>
                <w:rFonts w:ascii="Times New Roman;Times;serif" w:hAnsi="Times New Roman;Times;serif"/>
                <w:b w:val="false"/>
                <w:i w:val="false"/>
                <w:caps w:val="false"/>
                <w:smallCaps w:val="false"/>
                <w:sz w:val="20"/>
              </w:rPr>
              <w:t xml:space="preserve">: A strong security culture among our employees is one of our best defenses in relation to cybersecurity events. Our employees are required to complete annual cybersecurity and data protection awareness training. This training educates personnel on topics like phishing prevention, safe computing practices, and how to report potential security issues. We supplement formal training with periodic phishing email simulations and security reminders.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a combination of these technical, procedural, and educational measures, our program is designed to detect and respond to cybersecurity threats effectively and thereby safeguard our business operations and sensitive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Cybersecurity threats are endemic to the modern business environment, and attempts to penetrate our network security are frequent and on-going. However, to date, no cybersecurity threats (including incidents) have resulted in a material impact on our business strategy, results of operations, or financial condition. Despite our efforts to identify and respond to cybersecurity threats, we cannot eliminate all risks from cybersecurity threats or provide assurances that we have not experienced an undetected cybersecurity incident, that we will not experience a cybersecurity incident in the future, or that a past cybersecurity incident will not result in a future material impact. For additional information on cybersecurity related risks, see “Item 1A. Risk Factors” of this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Governance and Oversight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0"/>
        </w:rPr>
        <w:t>We have established strong governance practices to oversee cybersecurity and IT risks. The Board of Directors has delegated primary oversight responsibility for cybersecurity to the Risk Management Committee (RMC) of the Board, which is composed of several Board members. Our Chief Information Officer (CIO) and Information Security Officer (ISO)</w:t>
      </w:r>
      <w:r>
        <w:rPr>
          <w:rFonts w:ascii="Times New Roman;Times;serif" w:hAnsi="Times New Roman;Times;serif"/>
          <w:sz w:val="24"/>
        </w:rPr>
        <w:t xml:space="preserve"> </w:t>
      </w:r>
      <w:r>
        <w:rPr>
          <w:rFonts w:ascii="Times New Roman;Times;serif" w:hAnsi="Times New Roman;Times;serif"/>
          <w:sz w:val="20"/>
        </w:rPr>
        <w:t>receive security reports and threat intelligence from the Security Operations Center, which apprises the CIO and ISO of any potential incidents and the status of ongoing preventive measures and they share this information at least quarterly with the RMC.</w:t>
      </w:r>
      <w:r>
        <w:rPr>
          <w:rFonts w:ascii="Times New Roman;Times;serif" w:hAnsi="Times New Roman;Times;serif"/>
          <w:sz w:val="24"/>
        </w:rPr>
        <w:t xml:space="preserve"> </w:t>
      </w:r>
      <w:r>
        <w:rPr>
          <w:rFonts w:ascii="Times New Roman;Times;serif" w:hAnsi="Times New Roman;Times;serif"/>
          <w:sz w:val="20"/>
        </w:rPr>
        <w:t>They also brief the full Board as needed on cybersecurity matters.</w:t>
      </w:r>
      <w:r>
        <w:rPr>
          <w:rFonts w:ascii="Times New Roman;Times;serif" w:hAnsi="Times New Roman;Times;serif"/>
          <w:sz w:val="24"/>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multi-disciplinary Cybersecurity Council that connects our Information Security, IT, Corporate Audit, Finance, Legal, Compliance, and Investor Relations teams. This Council facilitates coordination of cybersecurity risk management across our organization and a unified response to incidents. In the event of a cybersecurity incident, the ISO will lead our incident response efforts and convene the Cybersecurity Council to evaluate the situation and determine appropriate next steps (for example, engaging law enforcement or cyber-experts, and considering disclosure obligations). This integrated governance structure – from the operational teams up through senior management and the Board – helps drive accountability and visibility for cybersecurity throughout our organization.</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Our leadership team includes seasoned professionals with deep expertise in technology and security. Our CIO, Todd Weathersby, has more than 25 years of experience in global IT and cybersecurity management, and our ISO has more than 25 years of experience in cybersecurity, risk, and compliance (with certifications such as CISSP and CISM).</w:t>
      </w:r>
      <w:r>
        <w:rPr>
          <w:rFonts w:ascii="Times New Roman;Times;serif" w:hAnsi="Times New Roman;Times;serif"/>
          <w:sz w:val="24"/>
        </w:rPr>
        <w:t xml:space="preserve"> </w:t>
      </w:r>
      <w:r>
        <w:rPr>
          <w:rFonts w:ascii="Times New Roman;Times;serif" w:hAnsi="Times New Roman;Times;serif"/>
          <w:sz w:val="20"/>
        </w:rPr>
        <w:t>The knowledge and experience of our CIO and ISO, along with the Board’s active engagement, provides a strong oversight of our cybersecurity strategy. The Board and management also receive regular briefings and training sessions regarding emerging cybersecurity threats and regulatory developments to be positioned to adapt to new challenges in the cybersecurity landscape.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1" w:name="ITEM2PROPERTIES_258414"/>
      <w:bookmarkStart w:id="42" w:name="_fc69a15a_4bf0_43e7_bbb0_e8ea8bae269b"/>
      <w:bookmarkEnd w:id="41"/>
      <w:bookmarkEnd w:id="42"/>
      <w:r>
        <w:rPr>
          <w:rFonts w:ascii="Times New Roman;Times;serif" w:hAnsi="Times New Roman;Times;serif"/>
          <w:b/>
          <w:sz w:val="20"/>
        </w:rPr>
        <w:t>ITEM 2. PROPERTIES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we owned the following principal facilities: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06"/>
        <w:gridCol w:w="346"/>
        <w:gridCol w:w="6268"/>
        <w:gridCol w:w="346"/>
        <w:gridCol w:w="1139"/>
      </w:tblGrid>
      <w:tr>
        <w:trPr/>
        <w:tc>
          <w:tcPr>
            <w:tcW w:w="2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7310" cy="175260"/>
                      <wp:effectExtent l="0" t="0" r="0" b="0"/>
                      <wp:wrapNone/>
                      <wp:docPr id="2" name="Frame1"/>
                      <a:graphic xmlns:a="http://schemas.openxmlformats.org/drawingml/2006/main">
                        <a:graphicData uri="http://schemas.microsoft.com/office/word/2010/wordprocessingShape">
                          <wps:wsp>
                            <wps:cNvSpPr txBox="1"/>
                            <wps:spPr>
                              <a:xfrm>
                                <a:off x="0" y="0"/>
                                <a:ext cx="1337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980180" cy="175260"/>
                      <wp:effectExtent l="0" t="0" r="0" b="0"/>
                      <wp:wrapNone/>
                      <wp:docPr id="4" name="Frame3"/>
                      <a:graphic xmlns:a="http://schemas.openxmlformats.org/drawingml/2006/main">
                        <a:graphicData uri="http://schemas.microsoft.com/office/word/2010/wordprocessingShape">
                          <wps:wsp>
                            <wps:cNvSpPr txBox="1"/>
                            <wps:spPr>
                              <a:xfrm>
                                <a:off x="0" y="0"/>
                                <a:ext cx="398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23265" cy="175260"/>
                      <wp:effectExtent l="0" t="0" r="0" b="0"/>
                      <wp:wrapNone/>
                      <wp:docPr id="6" name="Frame5"/>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2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Approximate </w:t>
            </w:r>
          </w:p>
        </w:tc>
      </w:tr>
      <w:tr>
        <w:trPr/>
        <w:tc>
          <w:tcPr>
            <w:tcW w:w="2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2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Square </w:t>
            </w:r>
          </w:p>
        </w:tc>
      </w:tr>
      <w:tr>
        <w:trPr/>
        <w:tc>
          <w:tcPr>
            <w:tcW w:w="2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center"/>
              <w:rPr/>
            </w:pPr>
            <w:r>
              <w:rPr/>
              <w:t>  ​ ​ ​</w:t>
            </w:r>
          </w:p>
        </w:tc>
        <w:tc>
          <w:tcPr>
            <w:tcW w:w="62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Facility</w:t>
            </w:r>
          </w:p>
        </w:tc>
        <w:tc>
          <w:tcPr>
            <w:tcW w:w="346" w:type="dxa"/>
            <w:tcBorders/>
            <w:vAlign w:val="center"/>
          </w:tcPr>
          <w:p>
            <w:pPr>
              <w:pStyle w:val="TableContents"/>
              <w:bidi w:val="0"/>
              <w:spacing w:before="0" w:after="0"/>
              <w:ind w:left="0" w:right="0" w:hanging="0"/>
              <w:jc w:val="center"/>
              <w:rPr/>
            </w:pPr>
            <w:r>
              <w:rPr/>
              <w:t>  ​ ​ ​</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Footage</w:t>
            </w:r>
          </w:p>
        </w:tc>
      </w:tr>
      <w:tr>
        <w:trPr/>
        <w:tc>
          <w:tcPr>
            <w:tcW w:w="2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Billerica, Massachusetts</w:t>
            </w:r>
          </w:p>
        </w:tc>
        <w:tc>
          <w:tcPr>
            <w:tcW w:w="346" w:type="dxa"/>
            <w:tcBorders/>
            <w:shd w:fill="CCEEFF" w:val="clear"/>
            <w:vAlign w:val="center"/>
          </w:tcPr>
          <w:p>
            <w:pPr>
              <w:pStyle w:val="TableContents"/>
              <w:bidi w:val="0"/>
              <w:spacing w:before="0" w:after="0"/>
              <w:ind w:left="0" w:right="0" w:hanging="0"/>
              <w:jc w:val="left"/>
              <w:rPr/>
            </w:pPr>
            <w:r>
              <w:rPr/>
              <w:t> </w:t>
            </w:r>
          </w:p>
        </w:tc>
        <w:tc>
          <w:tcPr>
            <w:tcW w:w="6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engineering, sales and marketing and service for our Security division</w:t>
            </w:r>
          </w:p>
        </w:tc>
        <w:tc>
          <w:tcPr>
            <w:tcW w:w="346" w:type="dxa"/>
            <w:tcBorders/>
            <w:shd w:fill="CCEEFF" w:val="clear"/>
            <w:vAlign w:val="center"/>
          </w:tcPr>
          <w:p>
            <w:pPr>
              <w:pStyle w:val="TableContents"/>
              <w:bidi w:val="0"/>
              <w:spacing w:before="0" w:after="0"/>
              <w:ind w:left="0" w:right="0" w:hanging="0"/>
              <w:jc w:val="left"/>
              <w:rPr/>
            </w:pPr>
            <w:r>
              <w:rPr/>
              <w:t> </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186,200</w:t>
            </w:r>
          </w:p>
        </w:tc>
      </w:tr>
      <w:tr>
        <w:trPr/>
        <w:tc>
          <w:tcPr>
            <w:tcW w:w="2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Snoqualmie, Washington</w:t>
            </w:r>
          </w:p>
        </w:tc>
        <w:tc>
          <w:tcPr>
            <w:tcW w:w="346" w:type="dxa"/>
            <w:tcBorders/>
            <w:vAlign w:val="center"/>
          </w:tcPr>
          <w:p>
            <w:pPr>
              <w:pStyle w:val="TableContents"/>
              <w:bidi w:val="0"/>
              <w:spacing w:before="0" w:after="0"/>
              <w:ind w:left="0" w:right="0" w:hanging="0"/>
              <w:jc w:val="left"/>
              <w:rPr/>
            </w:pPr>
            <w:r>
              <w:rPr/>
              <w:t> </w:t>
            </w:r>
          </w:p>
        </w:tc>
        <w:tc>
          <w:tcPr>
            <w:tcW w:w="6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Headquarters and administrative, manufacturing, engineering, sales, marketing and service for our Healthcare division</w:t>
            </w:r>
          </w:p>
        </w:tc>
        <w:tc>
          <w:tcPr>
            <w:tcW w:w="346"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177,000</w:t>
            </w:r>
          </w:p>
        </w:tc>
      </w:tr>
      <w:tr>
        <w:trPr/>
        <w:tc>
          <w:tcPr>
            <w:tcW w:w="2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Batam, Indonesia</w:t>
            </w:r>
          </w:p>
        </w:tc>
        <w:tc>
          <w:tcPr>
            <w:tcW w:w="346" w:type="dxa"/>
            <w:tcBorders/>
            <w:shd w:fill="CCEEFF" w:val="clear"/>
            <w:vAlign w:val="center"/>
          </w:tcPr>
          <w:p>
            <w:pPr>
              <w:pStyle w:val="TableContents"/>
              <w:bidi w:val="0"/>
              <w:spacing w:before="0" w:after="0"/>
              <w:ind w:left="0" w:right="0" w:hanging="0"/>
              <w:jc w:val="left"/>
              <w:rPr/>
            </w:pPr>
            <w:r>
              <w:rPr/>
              <w:t> </w:t>
            </w:r>
          </w:p>
        </w:tc>
        <w:tc>
          <w:tcPr>
            <w:tcW w:w="6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for our Optoelectronics and Manufacturing division</w:t>
            </w:r>
          </w:p>
        </w:tc>
        <w:tc>
          <w:tcPr>
            <w:tcW w:w="346" w:type="dxa"/>
            <w:tcBorders/>
            <w:shd w:fill="CCEEFF" w:val="clear"/>
            <w:vAlign w:val="center"/>
          </w:tcPr>
          <w:p>
            <w:pPr>
              <w:pStyle w:val="TableContents"/>
              <w:bidi w:val="0"/>
              <w:spacing w:before="0" w:after="0"/>
              <w:ind w:left="0" w:right="0" w:hanging="0"/>
              <w:jc w:val="left"/>
              <w:rPr/>
            </w:pPr>
            <w:r>
              <w:rPr/>
              <w:t> </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93,500</w:t>
            </w:r>
          </w:p>
        </w:tc>
      </w:tr>
      <w:tr>
        <w:trPr/>
        <w:tc>
          <w:tcPr>
            <w:tcW w:w="2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Stoke on Trent, United Kingdom</w:t>
            </w:r>
          </w:p>
        </w:tc>
        <w:tc>
          <w:tcPr>
            <w:tcW w:w="346" w:type="dxa"/>
            <w:tcBorders/>
            <w:vAlign w:val="center"/>
          </w:tcPr>
          <w:p>
            <w:pPr>
              <w:pStyle w:val="TableContents"/>
              <w:bidi w:val="0"/>
              <w:spacing w:before="0" w:after="0"/>
              <w:ind w:left="0" w:right="0" w:hanging="0"/>
              <w:jc w:val="left"/>
              <w:rPr/>
            </w:pPr>
            <w:r>
              <w:rPr/>
              <w:t> </w:t>
            </w:r>
          </w:p>
        </w:tc>
        <w:tc>
          <w:tcPr>
            <w:tcW w:w="6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engineering, sales, marketing and service for our Security division</w:t>
            </w:r>
          </w:p>
        </w:tc>
        <w:tc>
          <w:tcPr>
            <w:tcW w:w="346"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r>
      <w:tr>
        <w:trPr/>
        <w:tc>
          <w:tcPr>
            <w:tcW w:w="2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Surrey, United Kingdom</w:t>
            </w:r>
          </w:p>
        </w:tc>
        <w:tc>
          <w:tcPr>
            <w:tcW w:w="346" w:type="dxa"/>
            <w:tcBorders/>
            <w:shd w:fill="CCEEFF" w:val="clear"/>
            <w:vAlign w:val="center"/>
          </w:tcPr>
          <w:p>
            <w:pPr>
              <w:pStyle w:val="TableContents"/>
              <w:bidi w:val="0"/>
              <w:spacing w:before="0" w:after="0"/>
              <w:ind w:left="0" w:right="0" w:hanging="0"/>
              <w:jc w:val="left"/>
              <w:rPr/>
            </w:pPr>
            <w:r>
              <w:rPr/>
              <w:t> </w:t>
            </w:r>
          </w:p>
        </w:tc>
        <w:tc>
          <w:tcPr>
            <w:tcW w:w="6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engineering, sales, marketing and service for our Security division</w:t>
            </w:r>
          </w:p>
        </w:tc>
        <w:tc>
          <w:tcPr>
            <w:tcW w:w="346" w:type="dxa"/>
            <w:tcBorders/>
            <w:shd w:fill="CCEEFF" w:val="clear"/>
            <w:vAlign w:val="center"/>
          </w:tcPr>
          <w:p>
            <w:pPr>
              <w:pStyle w:val="TableContents"/>
              <w:bidi w:val="0"/>
              <w:spacing w:before="0" w:after="0"/>
              <w:ind w:left="0" w:right="0" w:hanging="0"/>
              <w:jc w:val="left"/>
              <w:rPr/>
            </w:pPr>
            <w:r>
              <w:rPr/>
              <w:t> </w:t>
            </w:r>
          </w:p>
        </w:tc>
        <w:tc>
          <w:tcPr>
            <w:tcW w:w="113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59,000</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we leased the following principal facilities: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0"/>
        <w:gridCol w:w="346"/>
        <w:gridCol w:w="5458"/>
        <w:gridCol w:w="346"/>
        <w:gridCol w:w="1261"/>
        <w:gridCol w:w="346"/>
        <w:gridCol w:w="1018"/>
      </w:tblGrid>
      <w:tr>
        <w:trPr/>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08050" cy="175260"/>
                      <wp:effectExtent l="0" t="0" r="0" b="0"/>
                      <wp:wrapNone/>
                      <wp:docPr id="7" name="Frame6"/>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465830" cy="175260"/>
                      <wp:effectExtent l="0" t="0" r="0" b="0"/>
                      <wp:wrapNone/>
                      <wp:docPr id="9" name="Frame8"/>
                      <a:graphic xmlns:a="http://schemas.openxmlformats.org/drawingml/2006/main">
                        <a:graphicData uri="http://schemas.microsoft.com/office/word/2010/wordprocessingShape">
                          <wps:wsp>
                            <wps:cNvSpPr txBox="1"/>
                            <wps:spPr>
                              <a:xfrm>
                                <a:off x="0" y="0"/>
                                <a:ext cx="3465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800735" cy="175260"/>
                      <wp:effectExtent l="0" t="0" r="0" b="0"/>
                      <wp:wrapNone/>
                      <wp:docPr id="11" name="Frame1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6430" cy="175260"/>
                      <wp:effectExtent l="0" t="0" r="0" b="0"/>
                      <wp:wrapNone/>
                      <wp:docPr id="13" name="Frame12"/>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Approximate</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center"/>
              <w:rPr/>
            </w:pPr>
            <w:r>
              <w:rPr/>
              <w:t>  ​ ​ ​</w:t>
            </w:r>
          </w:p>
        </w:tc>
        <w:tc>
          <w:tcPr>
            <w:tcW w:w="1018" w:type="dxa"/>
            <w:tcBorders/>
            <w:vAlign w:val="center"/>
          </w:tcPr>
          <w:p>
            <w:pPr>
              <w:pStyle w:val="TableContents"/>
              <w:bidi w:val="0"/>
              <w:spacing w:before="0" w:after="0"/>
              <w:ind w:left="0" w:right="0" w:hanging="0"/>
              <w:jc w:val="center"/>
              <w:rPr/>
            </w:pPr>
            <w:r>
              <w:rPr/>
              <w:t>​</w:t>
            </w:r>
          </w:p>
        </w:tc>
      </w:tr>
      <w:tr>
        <w:trPr/>
        <w:tc>
          <w:tcPr>
            <w:tcW w:w="14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center"/>
              <w:rPr/>
            </w:pPr>
            <w:r>
              <w:rPr/>
              <w:t>  ​ ​ ​</w:t>
            </w:r>
          </w:p>
        </w:tc>
        <w:tc>
          <w:tcPr>
            <w:tcW w:w="54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Facility</w:t>
            </w:r>
          </w:p>
        </w:tc>
        <w:tc>
          <w:tcPr>
            <w:tcW w:w="346" w:type="dxa"/>
            <w:tcBorders/>
            <w:vAlign w:val="center"/>
          </w:tcPr>
          <w:p>
            <w:pPr>
              <w:pStyle w:val="TableContents"/>
              <w:bidi w:val="0"/>
              <w:spacing w:before="0" w:after="0"/>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Square Footage</w:t>
            </w:r>
          </w:p>
        </w:tc>
        <w:tc>
          <w:tcPr>
            <w:tcW w:w="346" w:type="dxa"/>
            <w:tcBorders/>
            <w:vAlign w:val="center"/>
          </w:tcPr>
          <w:p>
            <w:pPr>
              <w:pStyle w:val="TableContents"/>
              <w:bidi w:val="0"/>
              <w:spacing w:before="0" w:after="0"/>
              <w:ind w:left="0" w:right="0" w:hanging="0"/>
              <w:jc w:val="center"/>
              <w:rPr/>
            </w:pPr>
            <w:r>
              <w:rPr/>
              <w:t>  ​ ​ ​</w:t>
            </w:r>
          </w:p>
        </w:tc>
        <w:tc>
          <w:tcPr>
            <w:tcW w:w="10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tc>
        <w:tc>
          <w:tcPr>
            <w:tcW w:w="346" w:type="dxa"/>
            <w:tcBorders/>
            <w:shd w:fill="CCEEFF" w:val="clear"/>
            <w:vAlign w:val="center"/>
          </w:tcPr>
          <w:p>
            <w:pPr>
              <w:pStyle w:val="TableContents"/>
              <w:bidi w:val="0"/>
              <w:spacing w:before="0" w:after="0"/>
              <w:ind w:left="0" w:right="0" w:hanging="0"/>
              <w:jc w:val="center"/>
              <w:rPr/>
            </w:pPr>
            <w:r>
              <w:rPr/>
              <w:t>​</w:t>
            </w:r>
          </w:p>
        </w:tc>
        <w:tc>
          <w:tcPr>
            <w:tcW w:w="5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engineering, sales and marketing and service for our Security division</w:t>
            </w:r>
          </w:p>
        </w:tc>
        <w:tc>
          <w:tcPr>
            <w:tcW w:w="34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119,400</w:t>
            </w:r>
          </w:p>
        </w:tc>
        <w:tc>
          <w:tcPr>
            <w:tcW w:w="346" w:type="dxa"/>
            <w:tcBorders/>
            <w:shd w:fill="CCEEFF" w:val="clear"/>
            <w:vAlign w:val="center"/>
          </w:tcPr>
          <w:p>
            <w:pPr>
              <w:pStyle w:val="TableContents"/>
              <w:bidi w:val="0"/>
              <w:spacing w:before="0" w:after="0"/>
              <w:ind w:left="0" w:right="0" w:hanging="0"/>
              <w:jc w:val="center"/>
              <w:rPr/>
            </w:pPr>
            <w:r>
              <w:rPr/>
              <w:t>​</w:t>
            </w:r>
          </w:p>
        </w:tc>
        <w:tc>
          <w:tcPr>
            <w:tcW w:w="101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r>
      <w:tr>
        <w:trPr/>
        <w:tc>
          <w:tcPr>
            <w:tcW w:w="1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Hawthorne, California</w:t>
            </w:r>
          </w:p>
        </w:tc>
        <w:tc>
          <w:tcPr>
            <w:tcW w:w="346" w:type="dxa"/>
            <w:tcBorders/>
            <w:vAlign w:val="center"/>
          </w:tcPr>
          <w:p>
            <w:pPr>
              <w:pStyle w:val="TableContents"/>
              <w:bidi w:val="0"/>
              <w:spacing w:before="0" w:after="0"/>
              <w:ind w:left="0" w:right="0" w:hanging="0"/>
              <w:jc w:val="center"/>
              <w:rPr/>
            </w:pPr>
            <w:r>
              <w:rPr/>
              <w:t>​</w:t>
            </w:r>
          </w:p>
        </w:tc>
        <w:tc>
          <w:tcPr>
            <w:tcW w:w="5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headquarters and administrative, manufacturing, engineering, sales and marketing and service for our Optoelectronics and Manufacturing division</w:t>
            </w:r>
          </w:p>
        </w:tc>
        <w:tc>
          <w:tcPr>
            <w:tcW w:w="34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88,000</w:t>
            </w:r>
          </w:p>
        </w:tc>
        <w:tc>
          <w:tcPr>
            <w:tcW w:w="346" w:type="dxa"/>
            <w:tcBorders/>
            <w:vAlign w:val="center"/>
          </w:tcPr>
          <w:p>
            <w:pPr>
              <w:pStyle w:val="TableContents"/>
              <w:bidi w:val="0"/>
              <w:spacing w:before="0" w:after="0"/>
              <w:ind w:left="0" w:right="0" w:hanging="0"/>
              <w:jc w:val="center"/>
              <w:rPr/>
            </w:pPr>
            <w:r>
              <w:rPr/>
              <w:t>​</w:t>
            </w:r>
          </w:p>
        </w:tc>
        <w:tc>
          <w:tcPr>
            <w:tcW w:w="10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Torrance, California</w:t>
            </w:r>
          </w:p>
        </w:tc>
        <w:tc>
          <w:tcPr>
            <w:tcW w:w="346" w:type="dxa"/>
            <w:tcBorders/>
            <w:shd w:fill="CCEEFF" w:val="clear"/>
            <w:vAlign w:val="center"/>
          </w:tcPr>
          <w:p>
            <w:pPr>
              <w:pStyle w:val="TableContents"/>
              <w:bidi w:val="0"/>
              <w:spacing w:before="0" w:after="0"/>
              <w:ind w:left="0" w:right="0" w:hanging="0"/>
              <w:jc w:val="left"/>
              <w:rPr/>
            </w:pPr>
            <w:r>
              <w:rPr/>
              <w:t> </w:t>
            </w:r>
          </w:p>
        </w:tc>
        <w:tc>
          <w:tcPr>
            <w:tcW w:w="5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engineering, sales and marketing and service for our Security division</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91,900</w:t>
            </w:r>
          </w:p>
        </w:tc>
        <w:tc>
          <w:tcPr>
            <w:tcW w:w="34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r>
      <w:tr>
        <w:trPr/>
        <w:tc>
          <w:tcPr>
            <w:tcW w:w="1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Batam, Indonesia (1)</w:t>
            </w:r>
          </w:p>
        </w:tc>
        <w:tc>
          <w:tcPr>
            <w:tcW w:w="346" w:type="dxa"/>
            <w:tcBorders/>
            <w:vAlign w:val="center"/>
          </w:tcPr>
          <w:p>
            <w:pPr>
              <w:pStyle w:val="TableContents"/>
              <w:bidi w:val="0"/>
              <w:spacing w:before="0" w:after="0"/>
              <w:ind w:left="0" w:right="0" w:hanging="0"/>
              <w:jc w:val="left"/>
              <w:rPr/>
            </w:pPr>
            <w:r>
              <w:rPr/>
              <w:t> </w:t>
            </w:r>
          </w:p>
        </w:tc>
        <w:tc>
          <w:tcPr>
            <w:tcW w:w="5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for our Optoelectronics and Manufacturing division</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101,200</w:t>
            </w:r>
          </w:p>
        </w:tc>
        <w:tc>
          <w:tcPr>
            <w:tcW w:w="34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 ~ 2028</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Johor Bahru, Malaysia(1)</w:t>
            </w:r>
          </w:p>
        </w:tc>
        <w:tc>
          <w:tcPr>
            <w:tcW w:w="346" w:type="dxa"/>
            <w:tcBorders/>
            <w:shd w:fill="CCEEFF" w:val="clear"/>
            <w:vAlign w:val="center"/>
          </w:tcPr>
          <w:p>
            <w:pPr>
              <w:pStyle w:val="TableContents"/>
              <w:bidi w:val="0"/>
              <w:spacing w:before="0" w:after="0"/>
              <w:ind w:left="0" w:right="0" w:hanging="0"/>
              <w:jc w:val="left"/>
              <w:rPr/>
            </w:pPr>
            <w:r>
              <w:rPr/>
              <w:t> </w:t>
            </w:r>
          </w:p>
        </w:tc>
        <w:tc>
          <w:tcPr>
            <w:tcW w:w="5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engineering, sales and service for our Optoelectronics and Manufacturing division</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110,100</w:t>
            </w:r>
          </w:p>
        </w:tc>
        <w:tc>
          <w:tcPr>
            <w:tcW w:w="34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 ~ 2028</w:t>
            </w:r>
          </w:p>
        </w:tc>
      </w:tr>
      <w:tr>
        <w:trPr/>
        <w:tc>
          <w:tcPr>
            <w:tcW w:w="1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Johor Bahru, Malaysia(1)</w:t>
            </w:r>
          </w:p>
        </w:tc>
        <w:tc>
          <w:tcPr>
            <w:tcW w:w="346" w:type="dxa"/>
            <w:tcBorders/>
            <w:vAlign w:val="center"/>
          </w:tcPr>
          <w:p>
            <w:pPr>
              <w:pStyle w:val="TableContents"/>
              <w:bidi w:val="0"/>
              <w:spacing w:before="0" w:after="0"/>
              <w:ind w:left="0" w:right="0" w:hanging="0"/>
              <w:jc w:val="left"/>
              <w:rPr/>
            </w:pPr>
            <w:r>
              <w:rPr/>
              <w:t> </w:t>
            </w:r>
          </w:p>
        </w:tc>
        <w:tc>
          <w:tcPr>
            <w:tcW w:w="54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engineering, sales and service for our Security division</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167,600</w:t>
            </w:r>
          </w:p>
        </w:tc>
        <w:tc>
          <w:tcPr>
            <w:tcW w:w="346" w:type="dxa"/>
            <w:tcBorders/>
            <w:vAlign w:val="center"/>
          </w:tcPr>
          <w:p>
            <w:pPr>
              <w:pStyle w:val="TableContents"/>
              <w:bidi w:val="0"/>
              <w:spacing w:before="0" w:after="0"/>
              <w:ind w:left="0" w:right="0" w:hanging="0"/>
              <w:jc w:val="left"/>
              <w:rPr/>
            </w:pPr>
            <w:r>
              <w:rPr/>
              <w:t> </w:t>
            </w:r>
          </w:p>
        </w:tc>
        <w:tc>
          <w:tcPr>
            <w:tcW w:w="101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tc>
        <w:tc>
          <w:tcPr>
            <w:tcW w:w="346" w:type="dxa"/>
            <w:tcBorders/>
            <w:shd w:fill="CCEEFF" w:val="clear"/>
            <w:vAlign w:val="center"/>
          </w:tcPr>
          <w:p>
            <w:pPr>
              <w:pStyle w:val="TableContents"/>
              <w:bidi w:val="0"/>
              <w:spacing w:before="0" w:after="0"/>
              <w:ind w:left="0" w:right="0" w:hanging="0"/>
              <w:jc w:val="left"/>
              <w:rPr/>
            </w:pPr>
            <w:r>
              <w:rPr/>
              <w:t> </w:t>
            </w:r>
          </w:p>
        </w:tc>
        <w:tc>
          <w:tcPr>
            <w:tcW w:w="5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and engineering for our Security division</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102,300</w:t>
            </w:r>
          </w:p>
        </w:tc>
        <w:tc>
          <w:tcPr>
            <w:tcW w:w="346"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2035</w:t>
            </w:r>
          </w:p>
        </w:tc>
      </w:tr>
    </w:tbl>
    <w:tbl>
      <w:tblPr>
        <w:tblW w:w="5942" w:type="dxa"/>
        <w:jc w:val="left"/>
        <w:tblInd w:w="0" w:type="dxa"/>
        <w:tblLayout w:type="fixed"/>
        <w:tblCellMar>
          <w:top w:w="0" w:type="dxa"/>
          <w:left w:w="0" w:type="dxa"/>
          <w:bottom w:w="0" w:type="dxa"/>
          <w:right w:w="0" w:type="dxa"/>
        </w:tblCellMar>
      </w:tblPr>
      <w:tblGrid>
        <w:gridCol w:w="346"/>
        <w:gridCol w:w="55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comprised of multiple leases at the same or nearby facilities.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that our facilities are in adequate condition to support our current operations but expect to expand as necessary to support our anticipated future growth. We currently anticipate that we will be able to renew the leases that are scheduled to expire in the next few years on terms that are substantially the same as those currently in effect. However, even if we were not able to renew one or more of the leases, we believe that suitable substitute space is available to relocate any of the facilities. Accordingly, we do not believe that our failure to renew any of the leases that are scheduled to expire in the next few years will have a material adverse effect on our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3" w:name="ITEM3LEGALPROCEEDINGS_63939"/>
      <w:bookmarkStart w:id="44" w:name="_e43d2a1a_db7d_4095_8bb7_b82580064ed1"/>
      <w:bookmarkEnd w:id="43"/>
      <w:bookmarkEnd w:id="44"/>
      <w:r>
        <w:rPr>
          <w:rFonts w:ascii="Times New Roman;Times;serif" w:hAnsi="Times New Roman;Times;serif"/>
          <w:b/>
          <w:sz w:val="20"/>
        </w:rPr>
        <w:t>ITEM 3.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subject to litigation, legal proceedings, and claims arising in the ordinary course of our business or otherwise. More information regarding legal proceedings in which we are involved can be found under Note 11, “Commitments and Contingencies” of the Notes to the Consolidated Financial Statements in Item 8, which is incorporated by reference into this Item 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5" w:name="ITEM4MINESAFETYDISCLOSURES_54316"/>
      <w:bookmarkStart w:id="46" w:name="_fa9560e8_75fe_4072_9334_d1dab1ff7f84"/>
      <w:bookmarkEnd w:id="45"/>
      <w:bookmarkEnd w:id="46"/>
      <w:r>
        <w:rPr>
          <w:rFonts w:ascii="Times New Roman;Times;serif" w:hAnsi="Times New Roman;Times;serif"/>
          <w:b/>
          <w:sz w:val="20"/>
        </w:rPr>
        <w:t>ITEM 4. MINE SAFETY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47" w:name="PARTII_738735"/>
      <w:bookmarkStart w:id="48" w:name="_e421eb9a_203a_4a38_a6ba_804f9da3642a"/>
      <w:bookmarkEnd w:id="47"/>
      <w:bookmarkEnd w:id="48"/>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sz w:val="20"/>
        </w:rPr>
      </w:pPr>
      <w:bookmarkStart w:id="49" w:name="ITEM5MARKETFORREGISTRANTS_414038"/>
      <w:bookmarkEnd w:id="49"/>
      <w:r>
        <w:rPr>
          <w:rFonts w:ascii="Times New Roman;Times;serif" w:hAnsi="Times New Roman;Times;serif"/>
          <w:b/>
          <w:sz w:val="20"/>
        </w:rPr>
        <w:t>ITEM 5. MARKET FOR REGISTRANT’S COMMON EQUITY, RELATED STOCKHOLDER MATTERS</w:t>
      </w:r>
      <w:r>
        <w:rPr>
          <w:rFonts w:ascii="Times New Roman;Times;serif" w:hAnsi="Times New Roman;Times;serif"/>
          <w:sz w:val="20"/>
        </w:rPr>
        <w:t xml:space="preserve"> </w:t>
      </w:r>
      <w:r>
        <w:rPr>
          <w:rFonts w:ascii="Times New Roman;Times;serif" w:hAnsi="Times New Roman;Times;serif"/>
          <w:b/>
          <w:sz w:val="20"/>
        </w:rPr>
        <w:t>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Market and 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common stock is traded on The Nasdaq Global Select Market under the symbol “OSIS.”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August 17, 2026, there were approximately 78 holders of record of our common stock. This number does not include beneficial owners holding shares through nominees or in “street” name.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paid any dividends since the consummation of our initial public offering in 1997, and we have no intention of paying dividends for the foreseeable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did not sell any unregistered shares of common stock during the fiscal year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2025, we issued an aggregate of $575.0 million principal amount of 0.5% convertible senior notes due in February 2031. The 2031 Notes were issued to the initial purchasers in reliance upon Section 4(a)(2) of the Securities Act in transactions not involving any public offering. The 2031 Notes were resold by the initial purchasers to persons whom the initial purchasers reasonably believe are “qualified institutional buyers,” as defined in, and in accordance with, Rule 144A under the Securities Act. Any shares of our common stock that may be issued upon conversion of the 2031 Notes will be issued in reliance upon Section 3(a)(9) of the Securities Act as involving an exchange by us exclusively with our security holders. Initially, a maximum of 1,625,122 shares of our common stock may be issued upon conversion of the 2031 Notes based on the initial maximum conversion rate of 2.8263 shares of common stock per $1,000 principal amount of 2031 Notes which is subject to customary anti-dilution adjustment provisions. The 2031 Notes are convertible into a combination of cash and shares of our common stock, at an initial conversion rate of 2.8263 shares of common stock per $1,000 principal amount of 2031 Notes, which is equivalent to an initial conversion price of approximately $353.82 per share of our common stock. The default settlement method is a combination settlement with a specified dollar amount of $1,000 per $1,000 principal amount of notes. The conversion rate is subject to customary adjustments for certain dilutive events.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Excluding shares tendered to satisfy minimum statutory withholding obligations related to the vesting of RSUs, we repurchased 1,111,825 shares of common stock during fiscal year 2026 for $271.9 million. These repurchases included 546,945 shares acquired during the second fiscal quarter at an average price of $267.03 per share and 564,880 shares acquired during the fourth fiscal quarter at an average price of $218.82 per share. As of June 30, 2026, the maximum number of shares of common stock that may yet be purchased under the current plan authorized by the Board of Directors is 78,731.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contains information about the shares of common stock we purchased during the quarter ended June 30, 2026:</w:t>
      </w:r>
    </w:p>
    <w:tbl>
      <w:tblPr>
        <w:tblW w:w="9489" w:type="dxa"/>
        <w:jc w:val="left"/>
        <w:tblInd w:w="0" w:type="dxa"/>
        <w:tblLayout w:type="fixed"/>
        <w:tblCellMar>
          <w:top w:w="0" w:type="dxa"/>
          <w:left w:w="0" w:type="dxa"/>
          <w:bottom w:w="0" w:type="dxa"/>
          <w:right w:w="0" w:type="dxa"/>
        </w:tblCellMar>
      </w:tblPr>
      <w:tblGrid>
        <w:gridCol w:w="2131"/>
        <w:gridCol w:w="346"/>
        <w:gridCol w:w="1291"/>
        <w:gridCol w:w="346"/>
        <w:gridCol w:w="334"/>
        <w:gridCol w:w="1077"/>
        <w:gridCol w:w="346"/>
        <w:gridCol w:w="1516"/>
        <w:gridCol w:w="346"/>
        <w:gridCol w:w="175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53185" cy="175260"/>
                      <wp:effectExtent l="0" t="0" r="0" b="0"/>
                      <wp:wrapNone/>
                      <wp:docPr id="14" name="Frame1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19785" cy="175260"/>
                      <wp:effectExtent l="0" t="0" r="0" b="0"/>
                      <wp:wrapNone/>
                      <wp:docPr id="16" name="Frame1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2090" cy="175260"/>
                      <wp:effectExtent l="0" t="0" r="0" b="0"/>
                      <wp:wrapNone/>
                      <wp:docPr id="18" name="Frame17"/>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83895" cy="175260"/>
                      <wp:effectExtent l="0" t="0" r="0" b="0"/>
                      <wp:wrapNone/>
                      <wp:docPr id="19" name="Frame18"/>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62660" cy="175260"/>
                      <wp:effectExtent l="0" t="0" r="0" b="0"/>
                      <wp:wrapNone/>
                      <wp:docPr id="21" name="Frame2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15060" cy="175260"/>
                      <wp:effectExtent l="0" t="0" r="0" b="0"/>
                      <wp:wrapNone/>
                      <wp:docPr id="23" name="Frame22"/>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10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 (or</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10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10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10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(or</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10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(or units)</w:t>
            </w:r>
          </w:p>
        </w:tc>
        <w:tc>
          <w:tcPr>
            <w:tcW w:w="346"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10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w:t>
            </w:r>
          </w:p>
        </w:tc>
        <w:tc>
          <w:tcPr>
            <w:tcW w:w="346"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346"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(or units)</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 (or</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46"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46" w:type="dxa"/>
            <w:tcBorders/>
            <w:vAlign w:val="center"/>
          </w:tcPr>
          <w:p>
            <w:pPr>
              <w:pStyle w:val="TableContents"/>
              <w:bidi w:val="0"/>
              <w:spacing w:before="0" w:after="0"/>
              <w:ind w:left="0" w:right="0" w:hanging="0"/>
              <w:jc w:val="center"/>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w:t>
            </w:r>
          </w:p>
        </w:tc>
        <w:tc>
          <w:tcPr>
            <w:tcW w:w="346" w:type="dxa"/>
            <w:tcBorders/>
            <w:vAlign w:val="center"/>
          </w:tcPr>
          <w:p>
            <w:pPr>
              <w:pStyle w:val="TableContents"/>
              <w:bidi w:val="0"/>
              <w:spacing w:before="0" w:after="0"/>
              <w:ind w:left="0" w:right="0" w:hanging="0"/>
              <w:jc w:val="center"/>
              <w:rPr/>
            </w:pPr>
            <w:r>
              <w:rPr/>
              <w:t>  ​ ​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346" w:type="dxa"/>
            <w:tcBorders/>
            <w:vAlign w:val="center"/>
          </w:tcPr>
          <w:p>
            <w:pPr>
              <w:pStyle w:val="TableContents"/>
              <w:bidi w:val="0"/>
              <w:spacing w:before="0" w:after="0"/>
              <w:ind w:left="0" w:right="0" w:hanging="0"/>
              <w:jc w:val="center"/>
              <w:rPr/>
            </w:pPr>
            <w:r>
              <w:rPr/>
              <w:t>  ​ ​ ​</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to April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643,611</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to May 31, 2026</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398,966</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220.38</w:t>
            </w:r>
          </w:p>
        </w:tc>
        <w:tc>
          <w:tcPr>
            <w:tcW w:w="3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398,966</w:t>
            </w:r>
          </w:p>
        </w:tc>
        <w:tc>
          <w:tcPr>
            <w:tcW w:w="346" w:type="dxa"/>
            <w:tcBorders/>
            <w:vAlign w:val="center"/>
          </w:tcPr>
          <w:p>
            <w:pPr>
              <w:pStyle w:val="TableContents"/>
              <w:bidi w:val="0"/>
              <w:spacing w:before="0" w:after="0"/>
              <w:ind w:left="0" w:right="0" w:hanging="0"/>
              <w:jc w:val="left"/>
              <w:rPr/>
            </w:pPr>
            <w:r>
              <w:rPr/>
              <w:t> </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244,645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to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165,914</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215.08</w:t>
            </w:r>
          </w:p>
        </w:tc>
        <w:tc>
          <w:tcPr>
            <w:tcW w:w="346" w:type="dxa"/>
            <w:tcBorders/>
            <w:shd w:fill="CCEEFF" w:val="clear"/>
            <w:vAlign w:val="center"/>
          </w:tcPr>
          <w:p>
            <w:pPr>
              <w:pStyle w:val="TableContents"/>
              <w:bidi w:val="0"/>
              <w:spacing w:before="0" w:after="0"/>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165,914</w:t>
            </w:r>
          </w:p>
        </w:tc>
        <w:tc>
          <w:tcPr>
            <w:tcW w:w="346" w:type="dxa"/>
            <w:tcBorders/>
            <w:shd w:fill="CCEEFF" w:val="clear"/>
            <w:vAlign w:val="center"/>
          </w:tcPr>
          <w:p>
            <w:pPr>
              <w:pStyle w:val="TableContents"/>
              <w:bidi w:val="0"/>
              <w:spacing w:before="0" w:after="0"/>
              <w:ind w:left="0" w:right="0" w:hanging="0"/>
              <w:jc w:val="left"/>
              <w:rPr/>
            </w:pPr>
            <w:r>
              <w:rPr/>
              <w:t> </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78,731</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564,880</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5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564,880</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September 2022, when there were 1,131,301 shares remaining authorized to repurchase under the then-existing share repurchase program, the Board of Directors renewed the authorization and revised the maximum number of shares to 2,000,000 shares authorized under the stock repurchase program. Upon repurchase, shares of common stock are restored to the status of authorized but unissued shares, and we record them as a reduction in the number of shares of common stock issued and outstanding in our consolidated financial statements.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provides information concerning our equity compensation plans as of June 30, 2026.</w:t>
      </w:r>
    </w:p>
    <w:tbl>
      <w:tblPr>
        <w:tblW w:w="10205" w:type="dxa"/>
        <w:jc w:val="left"/>
        <w:tblInd w:w="0" w:type="dxa"/>
        <w:tblLayout w:type="fixed"/>
        <w:tblCellMar>
          <w:top w:w="0" w:type="dxa"/>
          <w:left w:w="0" w:type="dxa"/>
          <w:bottom w:w="0" w:type="dxa"/>
          <w:right w:w="0" w:type="dxa"/>
        </w:tblCellMar>
      </w:tblPr>
      <w:tblGrid>
        <w:gridCol w:w="3870"/>
        <w:gridCol w:w="346"/>
        <w:gridCol w:w="1528"/>
        <w:gridCol w:w="346"/>
        <w:gridCol w:w="364"/>
        <w:gridCol w:w="1169"/>
        <w:gridCol w:w="346"/>
        <w:gridCol w:w="1704"/>
        <w:gridCol w:w="532"/>
      </w:tblGrid>
      <w:tr>
        <w:trPr/>
        <w:tc>
          <w:tcPr>
            <w:tcW w:w="3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457450" cy="175260"/>
                      <wp:effectExtent l="0" t="0" r="0" b="0"/>
                      <wp:wrapNone/>
                      <wp:docPr id="24" name="Frame23"/>
                      <a:graphic xmlns:a="http://schemas.openxmlformats.org/drawingml/2006/main">
                        <a:graphicData uri="http://schemas.microsoft.com/office/word/2010/wordprocessingShape">
                          <wps:wsp>
                            <wps:cNvSpPr txBox="1"/>
                            <wps:spPr>
                              <a:xfrm>
                                <a:off x="0" y="0"/>
                                <a:ext cx="2457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70280" cy="175260"/>
                      <wp:effectExtent l="0" t="0" r="0" b="0"/>
                      <wp:wrapNone/>
                      <wp:docPr id="26" name="Frame25"/>
                      <a:graphic xmlns:a="http://schemas.openxmlformats.org/drawingml/2006/main">
                        <a:graphicData uri="http://schemas.microsoft.com/office/word/2010/wordprocessingShape">
                          <wps:wsp>
                            <wps:cNvSpPr txBox="1"/>
                            <wps:spPr>
                              <a:xfrm>
                                <a:off x="0" y="0"/>
                                <a:ext cx="970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1140" cy="175260"/>
                      <wp:effectExtent l="0" t="0" r="0" b="0"/>
                      <wp:wrapNone/>
                      <wp:docPr id="28" name="Frame27"/>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42315" cy="175260"/>
                      <wp:effectExtent l="0" t="0" r="0" b="0"/>
                      <wp:wrapNone/>
                      <wp:docPr id="29" name="Frame28"/>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82040" cy="175260"/>
                      <wp:effectExtent l="0" t="0" r="0" b="0"/>
                      <wp:wrapNone/>
                      <wp:docPr id="31" name="Frame30"/>
                      <a:graphic xmlns:a="http://schemas.openxmlformats.org/drawingml/2006/main">
                        <a:graphicData uri="http://schemas.microsoft.com/office/word/2010/wordprocessingShape">
                          <wps:wsp>
                            <wps:cNvSpPr txBox="1"/>
                            <wps:spPr>
                              <a:xfrm>
                                <a:off x="0" y="0"/>
                                <a:ext cx="1082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37820" cy="175260"/>
                      <wp:effectExtent l="0" t="0" r="0" b="0"/>
                      <wp:wrapNone/>
                      <wp:docPr id="32" name="Frame31"/>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64" w:type="dxa"/>
            <w:tcBorders/>
            <w:vAlign w:val="center"/>
          </w:tcPr>
          <w:p>
            <w:pPr>
              <w:pStyle w:val="TableContents"/>
              <w:bidi w:val="0"/>
              <w:spacing w:before="0" w:after="0"/>
              <w:ind w:left="0" w:right="0" w:hanging="0"/>
              <w:jc w:val="center"/>
              <w:rPr/>
            </w:pPr>
            <w:r>
              <w:rPr/>
              <w:t>​</w:t>
            </w:r>
          </w:p>
        </w:tc>
        <w:tc>
          <w:tcPr>
            <w:tcW w:w="11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7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532" w:type="dxa"/>
            <w:tcBorders/>
            <w:vAlign w:val="center"/>
          </w:tcPr>
          <w:p>
            <w:pPr>
              <w:pStyle w:val="TableContents"/>
              <w:bidi w:val="0"/>
              <w:spacing w:before="0" w:after="0"/>
              <w:ind w:left="0" w:right="0" w:hanging="0"/>
              <w:jc w:val="left"/>
              <w:rPr/>
            </w:pPr>
            <w:r>
              <w:rPr/>
              <w:t> </w:t>
            </w:r>
          </w:p>
        </w:tc>
      </w:tr>
      <w:tr>
        <w:trPr/>
        <w:tc>
          <w:tcPr>
            <w:tcW w:w="38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center"/>
              <w:rPr/>
            </w:pPr>
            <w:r>
              <w:rPr/>
              <w:t>​</w:t>
            </w:r>
          </w:p>
        </w:tc>
        <w:tc>
          <w:tcPr>
            <w:tcW w:w="11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available for</w:t>
            </w:r>
          </w:p>
        </w:tc>
        <w:tc>
          <w:tcPr>
            <w:tcW w:w="532" w:type="dxa"/>
            <w:tcBorders/>
            <w:vAlign w:val="center"/>
          </w:tcPr>
          <w:p>
            <w:pPr>
              <w:pStyle w:val="TableContents"/>
              <w:bidi w:val="0"/>
              <w:spacing w:before="0" w:after="0"/>
              <w:ind w:left="0" w:right="0" w:hanging="0"/>
              <w:jc w:val="left"/>
              <w:rPr/>
            </w:pPr>
            <w:r>
              <w:rPr/>
              <w:t> </w:t>
            </w:r>
          </w:p>
        </w:tc>
      </w:tr>
      <w:tr>
        <w:trPr/>
        <w:tc>
          <w:tcPr>
            <w:tcW w:w="38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2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 to</w:t>
            </w:r>
          </w:p>
        </w:tc>
        <w:tc>
          <w:tcPr>
            <w:tcW w:w="346" w:type="dxa"/>
            <w:tcBorders/>
            <w:vAlign w:val="center"/>
          </w:tcPr>
          <w:p>
            <w:pPr>
              <w:pStyle w:val="TableContents"/>
              <w:bidi w:val="0"/>
              <w:spacing w:before="0" w:after="0"/>
              <w:ind w:left="0" w:right="0" w:hanging="0"/>
              <w:jc w:val="left"/>
              <w:rPr/>
            </w:pPr>
            <w:r>
              <w:rPr/>
              <w:t>​</w:t>
            </w:r>
          </w:p>
        </w:tc>
        <w:tc>
          <w:tcPr>
            <w:tcW w:w="1533"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noBreakHyphen/>
            </w: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7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issuance under</w:t>
            </w:r>
          </w:p>
        </w:tc>
        <w:tc>
          <w:tcPr>
            <w:tcW w:w="532" w:type="dxa"/>
            <w:tcBorders/>
            <w:vAlign w:val="center"/>
          </w:tcPr>
          <w:p>
            <w:pPr>
              <w:pStyle w:val="TableContents"/>
              <w:bidi w:val="0"/>
              <w:spacing w:before="0" w:after="0"/>
              <w:ind w:left="0" w:right="0" w:hanging="0"/>
              <w:jc w:val="left"/>
              <w:rPr/>
            </w:pPr>
            <w:r>
              <w:rPr/>
              <w:t> </w:t>
            </w:r>
          </w:p>
        </w:tc>
      </w:tr>
      <w:tr>
        <w:trPr/>
        <w:tc>
          <w:tcPr>
            <w:tcW w:w="38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2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issued upon exercise</w:t>
            </w:r>
          </w:p>
        </w:tc>
        <w:tc>
          <w:tcPr>
            <w:tcW w:w="346" w:type="dxa"/>
            <w:tcBorders/>
            <w:vAlign w:val="center"/>
          </w:tcPr>
          <w:p>
            <w:pPr>
              <w:pStyle w:val="TableContents"/>
              <w:bidi w:val="0"/>
              <w:spacing w:before="0" w:after="0"/>
              <w:ind w:left="0" w:right="0" w:hanging="0"/>
              <w:jc w:val="left"/>
              <w:rPr/>
            </w:pPr>
            <w:r>
              <w:rPr/>
              <w:t>​</w:t>
            </w:r>
          </w:p>
        </w:tc>
        <w:tc>
          <w:tcPr>
            <w:tcW w:w="15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46" w:type="dxa"/>
            <w:tcBorders/>
            <w:vAlign w:val="center"/>
          </w:tcPr>
          <w:p>
            <w:pPr>
              <w:pStyle w:val="TableContents"/>
              <w:bidi w:val="0"/>
              <w:spacing w:before="0" w:after="0"/>
              <w:ind w:left="0" w:right="0" w:hanging="0"/>
              <w:jc w:val="left"/>
              <w:rPr/>
            </w:pPr>
            <w:r>
              <w:rPr/>
              <w:t>​</w:t>
            </w:r>
          </w:p>
        </w:tc>
        <w:tc>
          <w:tcPr>
            <w:tcW w:w="17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compensation</w:t>
            </w:r>
          </w:p>
        </w:tc>
        <w:tc>
          <w:tcPr>
            <w:tcW w:w="532" w:type="dxa"/>
            <w:tcBorders/>
            <w:vAlign w:val="center"/>
          </w:tcPr>
          <w:p>
            <w:pPr>
              <w:pStyle w:val="TableContents"/>
              <w:bidi w:val="0"/>
              <w:spacing w:before="0" w:after="0"/>
              <w:ind w:left="0" w:right="0" w:hanging="0"/>
              <w:jc w:val="left"/>
              <w:rPr/>
            </w:pPr>
            <w:r>
              <w:rPr/>
              <w:t> </w:t>
            </w:r>
          </w:p>
        </w:tc>
      </w:tr>
      <w:tr>
        <w:trPr/>
        <w:tc>
          <w:tcPr>
            <w:tcW w:w="38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2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outstanding options,</w:t>
            </w:r>
          </w:p>
        </w:tc>
        <w:tc>
          <w:tcPr>
            <w:tcW w:w="346" w:type="dxa"/>
            <w:tcBorders/>
            <w:vAlign w:val="center"/>
          </w:tcPr>
          <w:p>
            <w:pPr>
              <w:pStyle w:val="TableContents"/>
              <w:bidi w:val="0"/>
              <w:spacing w:before="0" w:after="0"/>
              <w:ind w:left="0" w:right="0" w:hanging="0"/>
              <w:jc w:val="left"/>
              <w:rPr/>
            </w:pPr>
            <w:r>
              <w:rPr/>
              <w:t>​</w:t>
            </w:r>
          </w:p>
        </w:tc>
        <w:tc>
          <w:tcPr>
            <w:tcW w:w="15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0"/>
              <w:ind w:left="0" w:right="0" w:hanging="0"/>
              <w:jc w:val="left"/>
              <w:rPr/>
            </w:pPr>
            <w:r>
              <w:rPr/>
              <w:t>​</w:t>
            </w:r>
          </w:p>
        </w:tc>
        <w:tc>
          <w:tcPr>
            <w:tcW w:w="17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(excluding securities</w:t>
            </w:r>
          </w:p>
        </w:tc>
        <w:tc>
          <w:tcPr>
            <w:tcW w:w="532" w:type="dxa"/>
            <w:tcBorders/>
            <w:vAlign w:val="center"/>
          </w:tcPr>
          <w:p>
            <w:pPr>
              <w:pStyle w:val="TableContents"/>
              <w:bidi w:val="0"/>
              <w:spacing w:before="0" w:after="0"/>
              <w:ind w:left="0" w:right="0" w:hanging="0"/>
              <w:jc w:val="left"/>
              <w:rPr/>
            </w:pPr>
            <w:r>
              <w:rPr/>
              <w:t> </w:t>
            </w:r>
          </w:p>
        </w:tc>
      </w:tr>
      <w:tr>
        <w:trPr/>
        <w:tc>
          <w:tcPr>
            <w:tcW w:w="38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0"/>
              <w:ind w:left="0" w:right="0" w:hanging="0"/>
              <w:jc w:val="left"/>
              <w:rPr/>
            </w:pPr>
            <w:r>
              <w:rPr/>
              <w:t>​</w:t>
            </w:r>
          </w:p>
        </w:tc>
        <w:tc>
          <w:tcPr>
            <w:tcW w:w="15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46" w:type="dxa"/>
            <w:tcBorders/>
            <w:vAlign w:val="center"/>
          </w:tcPr>
          <w:p>
            <w:pPr>
              <w:pStyle w:val="TableContents"/>
              <w:bidi w:val="0"/>
              <w:spacing w:before="0" w:after="0"/>
              <w:ind w:left="0" w:right="0" w:hanging="0"/>
              <w:jc w:val="left"/>
              <w:rPr/>
            </w:pPr>
            <w:r>
              <w:rPr/>
              <w:t>​</w:t>
            </w:r>
          </w:p>
        </w:tc>
        <w:tc>
          <w:tcPr>
            <w:tcW w:w="15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46" w:type="dxa"/>
            <w:tcBorders/>
            <w:vAlign w:val="center"/>
          </w:tcPr>
          <w:p>
            <w:pPr>
              <w:pStyle w:val="TableContents"/>
              <w:bidi w:val="0"/>
              <w:spacing w:before="0" w:after="0"/>
              <w:ind w:left="0" w:right="0" w:hanging="0"/>
              <w:jc w:val="left"/>
              <w:rPr/>
            </w:pPr>
            <w:r>
              <w:rPr/>
              <w:t>​</w:t>
            </w:r>
          </w:p>
        </w:tc>
        <w:tc>
          <w:tcPr>
            <w:tcW w:w="17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reflected in column (a))</w:t>
            </w:r>
          </w:p>
        </w:tc>
        <w:tc>
          <w:tcPr>
            <w:tcW w:w="532" w:type="dxa"/>
            <w:tcBorders/>
            <w:vAlign w:val="center"/>
          </w:tcPr>
          <w:p>
            <w:pPr>
              <w:pStyle w:val="TableContents"/>
              <w:bidi w:val="0"/>
              <w:spacing w:before="0" w:after="0"/>
              <w:ind w:left="0" w:right="0" w:hanging="0"/>
              <w:jc w:val="left"/>
              <w:rPr/>
            </w:pPr>
            <w:r>
              <w:rPr/>
              <w:t> </w:t>
            </w:r>
          </w:p>
        </w:tc>
      </w:tr>
      <w:tr>
        <w:trPr/>
        <w:tc>
          <w:tcPr>
            <w:tcW w:w="38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52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46" w:type="dxa"/>
            <w:tcBorders/>
            <w:vAlign w:val="center"/>
          </w:tcPr>
          <w:p>
            <w:pPr>
              <w:pStyle w:val="TableContents"/>
              <w:bidi w:val="0"/>
              <w:spacing w:before="0" w:after="0"/>
              <w:ind w:left="0" w:right="0" w:hanging="0"/>
              <w:jc w:val="left"/>
              <w:rPr/>
            </w:pPr>
            <w:r>
              <w:rPr/>
              <w:t> </w:t>
            </w:r>
          </w:p>
        </w:tc>
        <w:tc>
          <w:tcPr>
            <w:tcW w:w="17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c>
          <w:tcPr>
            <w:tcW w:w="532" w:type="dxa"/>
            <w:tcBorders/>
            <w:vAlign w:val="center"/>
          </w:tcPr>
          <w:p>
            <w:pPr>
              <w:pStyle w:val="TableContents"/>
              <w:bidi w:val="0"/>
              <w:spacing w:before="0" w:after="0"/>
              <w:ind w:left="0" w:right="0" w:hanging="0"/>
              <w:jc w:val="left"/>
              <w:rPr/>
            </w:pPr>
            <w:r>
              <w:rPr/>
              <w:t>​</w:t>
            </w:r>
          </w:p>
        </w:tc>
      </w:tr>
      <w:tr>
        <w:trPr/>
        <w:tc>
          <w:tcPr>
            <w:tcW w:w="38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5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51,449</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147.69</w:t>
            </w:r>
          </w:p>
        </w:tc>
        <w:tc>
          <w:tcPr>
            <w:tcW w:w="346" w:type="dxa"/>
            <w:tcBorders/>
            <w:shd w:fill="CCEEFF" w:val="clear"/>
            <w:vAlign w:val="center"/>
          </w:tcPr>
          <w:p>
            <w:pPr>
              <w:pStyle w:val="TableContents"/>
              <w:bidi w:val="0"/>
              <w:spacing w:before="0" w:after="0"/>
              <w:ind w:left="0" w:right="0" w:hanging="0"/>
              <w:jc w:val="left"/>
              <w:rPr/>
            </w:pPr>
            <w:r>
              <w:rPr/>
              <w:t>​</w:t>
            </w:r>
          </w:p>
        </w:tc>
        <w:tc>
          <w:tcPr>
            <w:tcW w:w="1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1,555,659</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r>
      <w:tr>
        <w:trPr/>
        <w:tc>
          <w:tcPr>
            <w:tcW w:w="38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46" w:type="dxa"/>
            <w:tcBorders/>
            <w:vAlign w:val="center"/>
          </w:tcPr>
          <w:p>
            <w:pPr>
              <w:pStyle w:val="TableContents"/>
              <w:bidi w:val="0"/>
              <w:spacing w:before="0" w:after="0"/>
              <w:ind w:left="0" w:right="0" w:hanging="0"/>
              <w:jc w:val="left"/>
              <w:rPr/>
            </w:pPr>
            <w:r>
              <w:rPr/>
              <w:t> </w:t>
            </w:r>
          </w:p>
        </w:tc>
        <w:tc>
          <w:tcPr>
            <w:tcW w:w="1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17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32" w:type="dxa"/>
            <w:tcBorders/>
            <w:vAlign w:val="center"/>
          </w:tcPr>
          <w:p>
            <w:pPr>
              <w:pStyle w:val="TableContents"/>
              <w:bidi w:val="0"/>
              <w:spacing w:before="0" w:after="0"/>
              <w:ind w:left="0" w:right="0" w:hanging="0"/>
              <w:jc w:val="left"/>
              <w:rPr/>
            </w:pPr>
            <w:r>
              <w:rPr/>
              <w:t>​</w:t>
            </w:r>
          </w:p>
        </w:tc>
      </w:tr>
      <w:tr>
        <w:trPr/>
        <w:tc>
          <w:tcPr>
            <w:tcW w:w="38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5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51,449</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147.69</w:t>
            </w:r>
          </w:p>
        </w:tc>
        <w:tc>
          <w:tcPr>
            <w:tcW w:w="346" w:type="dxa"/>
            <w:tcBorders/>
            <w:shd w:fill="CCEEFF" w:val="clear"/>
            <w:vAlign w:val="center"/>
          </w:tcPr>
          <w:p>
            <w:pPr>
              <w:pStyle w:val="TableContents"/>
              <w:bidi w:val="0"/>
              <w:spacing w:before="0" w:after="0"/>
              <w:ind w:left="0" w:right="0" w:hanging="0"/>
              <w:jc w:val="left"/>
              <w:rPr/>
            </w:pPr>
            <w:r>
              <w:rPr/>
              <w:t>​</w:t>
            </w:r>
          </w:p>
        </w:tc>
        <w:tc>
          <w:tcPr>
            <w:tcW w:w="1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1,555,659</w:t>
            </w:r>
          </w:p>
        </w:tc>
        <w:tc>
          <w:tcPr>
            <w:tcW w:w="532"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shares are available for future issuance under our Amended and Restated 2012 Incentive Award Plan (the “OSI Plan”), which was approved by our shareholders on December 10, 2020 and amended on December 12, 2023.</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of restricted stock units or other awards that convey the full value of the shares subject to the award are counted as 1.87 shares for every one award granted.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Performance Graph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graph below compares the cumulative total stockholder return for the period beginning on the market close on the last trading day before the beginning of our fifth preceding fiscal year through and including the end of our last completed fiscal year with (a) The Nasdaq Composite Index and (b) a peer group of publicly traded issuer(s) with which we have generally competed.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old peer group includes the following companies: Conmed Corp, Leidos Holdings Inc. and Smiths Group plc.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new peer group includes the following companies: Conmed Corp, Leidos Holdings Inc. and Evolv Technologies Holdings, Inc., but excludes Smiths Group Plc which is in the process of divesting Smiths Detection. Because of this pending divestiture, we believe that Evolv Technologies Holdings, Inc. more closely reflects our Company's participation in the security screening and detection market.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graph assumes that $100.00 was invested on June 30, 2021 in (a) our common stock, (b) The Nasdaq Composite Index, and (c) the companies comprising the old and new peer group described above (weighted according to the issuer’s stock market capitalization at the beginning of each period for which a return is indicated). The graph assumes that all dividends were reinvested. Historical stock price performance is not necessarily indicative of future stock price performance.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performance graph shall not be deemed “filed” for purposes of Section 18 of the Exchange Act, or incorporated by reference into any Company filing under the Securities Act of 1933, as amended, or the Exchange Act, except as shall be expressly set forth by specific reference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5696585" cy="4735830"/>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5696585" cy="4735830"/>
                    </a:xfrm>
                    <a:prstGeom prst="rect">
                      <a:avLst/>
                    </a:prstGeom>
                  </pic:spPr>
                </pic:pic>
              </a:graphicData>
            </a:graphic>
          </wp:inline>
        </w:drawing>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provides the same information in tabular form as of June 30:</w:t>
      </w:r>
    </w:p>
    <w:p>
      <w:pPr>
        <w:pStyle w:val="TextBody"/>
        <w:bidi w:val="0"/>
        <w:spacing w:before="0" w:after="0"/>
        <w:ind w:left="0" w:right="0" w:hanging="0"/>
        <w:jc w:val="left"/>
        <w:rPr/>
      </w:pPr>
      <w:r>
        <w:rPr/>
        <w:t>​</w:t>
      </w:r>
    </w:p>
    <w:tbl>
      <w:tblPr>
        <w:tblW w:w="8593" w:type="dxa"/>
        <w:jc w:val="left"/>
        <w:tblInd w:w="0" w:type="dxa"/>
        <w:tblLayout w:type="fixed"/>
        <w:tblCellMar>
          <w:top w:w="0" w:type="dxa"/>
          <w:left w:w="0" w:type="dxa"/>
          <w:bottom w:w="0" w:type="dxa"/>
          <w:right w:w="0" w:type="dxa"/>
        </w:tblCellMar>
      </w:tblPr>
      <w:tblGrid>
        <w:gridCol w:w="2521"/>
        <w:gridCol w:w="346"/>
        <w:gridCol w:w="676"/>
        <w:gridCol w:w="346"/>
        <w:gridCol w:w="571"/>
        <w:gridCol w:w="346"/>
        <w:gridCol w:w="676"/>
        <w:gridCol w:w="346"/>
        <w:gridCol w:w="676"/>
        <w:gridCol w:w="346"/>
        <w:gridCol w:w="676"/>
        <w:gridCol w:w="346"/>
        <w:gridCol w:w="72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00835" cy="175260"/>
                      <wp:effectExtent l="0" t="0" r="0" b="0"/>
                      <wp:wrapNone/>
                      <wp:docPr id="34" name="Frame32"/>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5"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9260" cy="175260"/>
                      <wp:effectExtent l="0" t="0" r="0" b="0"/>
                      <wp:wrapNone/>
                      <wp:docPr id="36" name="Frame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7"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62585" cy="175260"/>
                      <wp:effectExtent l="0" t="0" r="0" b="0"/>
                      <wp:wrapNone/>
                      <wp:docPr id="38" name="Frame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9"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29260" cy="175260"/>
                      <wp:effectExtent l="0" t="0" r="0" b="0"/>
                      <wp:wrapNone/>
                      <wp:docPr id="40" name="Frame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1"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9260" cy="175260"/>
                      <wp:effectExtent l="0" t="0" r="0" b="0"/>
                      <wp:wrapNone/>
                      <wp:docPr id="42" name="Frame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3"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4" name="Frame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5"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57835" cy="175260"/>
                      <wp:effectExtent l="0" t="0" r="0" b="0"/>
                      <wp:wrapNone/>
                      <wp:docPr id="46" name="Frame4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Systems, Inc</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84.06</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115.93</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135.30</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215.17</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Nasdaq Composite Index</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125.19</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144.81</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187.50</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Old Peer Group</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88.22</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159.08</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Peer Group</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94.74</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125.58</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0" w:name="ITEM6SELECTEDFINANCIALDATA_372276"/>
      <w:bookmarkStart w:id="51" w:name="_6c9c3b15_1ab2_4e97_8ca7_517f7f487af2"/>
      <w:bookmarkEnd w:id="50"/>
      <w:bookmarkEnd w:id="51"/>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52" w:name="ITEM7MANAGEMENTSDISCUSSIONANDANALYSIS_41"/>
      <w:bookmarkStart w:id="53" w:name="_a6b2fef4_5bfa_425d_a627_ce2fb78d4a65"/>
      <w:bookmarkEnd w:id="52"/>
      <w:bookmarkEnd w:id="53"/>
      <w:r>
        <w:rPr>
          <w:rFonts w:ascii="Times New Roman;Times;serif" w:hAnsi="Times New Roman;Times;serif"/>
          <w:b/>
          <w:sz w:val="20"/>
        </w:rPr>
        <w:t>ITEM 7.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management’s discussion and analysis of financial condition and results of operations (“MD&amp;A”) is intended to help the reader understand our results of operations and financial condition. MD&amp;A is provided as a supplement to, and should be read in conjunction with, our financial statements and the accompanying notes. This MD&amp;A contains forward-looking statements and the matters discussed in these forward-looking statements are subject to risks, uncertainties, and other factors that could cause actual results to differ materially from those projected or implied in the forward-looking statements. Please see “Risk Factors” and “Forward-Looking Statements” for a discussion of the uncertainties, risks and assumptions associated with these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vertically integrated designer and manufacturer of specialized electronic systems and components for critical applications. We sell our products and provide related services in diversified markets, including homeland security, healthcare, defense and aerospace. We have three operating divisions, each of which is a reportable segment: (a) Security, providing security and inspection systems, high-power RF systems and turnkey security screening solutions; (b) Optoelectronics and Manufacturing, providing specialized electronic components and electronic manufacturing services for applications in the defense and aerospace markets, among others, and for our Security and Healthcare divisions; and (c) Healthcare, providing patient monitoring, cardiology and remote monitoring, and connected care systems and associated accessories.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Security Division. </w:t>
      </w:r>
      <w:r>
        <w:rPr>
          <w:rFonts w:ascii="Times New Roman;Times;serif" w:hAnsi="Times New Roman;Times;serif"/>
          <w:sz w:val="20"/>
        </w:rPr>
        <w:t>Through our Security division, we provide security screening products, multi-platform software solutions, and services globally, as well as turnkey security screening solutions. These products and services are used to inspect baggage, parcels, cargo, people, vehicles and other objects for weapons, explosives, drugs, radioactive and nuclear materials and other contraband. We also provide high-power RF systems for transmission, surveillance and other applications for defense, research and industrial use. Revenues from our Security division accounted for 70% of our total consolidated revenues for fiscal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Optoelectronics and Manufacturing Division. </w:t>
      </w:r>
      <w:r>
        <w:rPr>
          <w:rFonts w:ascii="Times New Roman;Times;serif" w:hAnsi="Times New Roman;Times;serif"/>
          <w:sz w:val="20"/>
        </w:rPr>
        <w:t>Through our Optoelectronics and Manufacturing division, we design, manufacture and 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We also provide our optoelectronic devices and electronics manufacturing services to OEM customers, and our own Security and Healthcare divisions. Revenues from external customers in our Optoelectronics and Manufacturing division accounted for 21% of our total consolidated revenues for fiscal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Healthcare Division.</w:t>
      </w:r>
      <w:r>
        <w:rPr>
          <w:rFonts w:ascii="Times New Roman;Times;serif" w:hAnsi="Times New Roman;Times;serif"/>
          <w:sz w:val="20"/>
        </w:rPr>
        <w:t xml:space="preserve"> Through our Healthcare division, we design, manufacture, market and service patient monitoring, cardiology and remote monitoring, and connected care systems globally for sale primarily to hospitals and medical centers. Our products monitor patients in critical, emergency and perioperative care areas of the hospital and provide information, through wired and wireless networks, to physicians and nurses who may be at the patient’s bedside, in another area of the hospital or even outside the hospital. Revenues from our Healthcare division accounted for 9% of our total consolidated revenues for fiscal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Discussion and analysis of our financial condition and results of operations for fiscal 2024 (compared with fiscal 2025) have been omitted from this Annual Report on Form 10-K, and is available in Item 7 of Part II, “Management’s Discussion and Analysis of Financial Condition and Results of Operations” of our Annual Report on Form 10-K for the year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2026 Compared with Fiscal 2025. </w:t>
      </w:r>
      <w:r>
        <w:rPr>
          <w:rFonts w:ascii="Times New Roman;Times;serif" w:hAnsi="Times New Roman;Times;serif"/>
          <w:sz w:val="20"/>
        </w:rPr>
        <w:t>Fiscal 2026 was highlighted by continued revenue and earnings growth, and strong operating cash flow generation. Revenues increased to approximately $1.8 billion, driven by our Security and Optoelectronics divisions, partially offset by lower Healthcare division revenues. Cash generated from operating activities increased significantly to approximately $275.9 million, driven largely by improved working capital, including collections on large Security projects, and higher 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Acquisitions. </w:t>
      </w:r>
      <w:r>
        <w:rPr>
          <w:rFonts w:ascii="Times New Roman;Times;serif" w:hAnsi="Times New Roman;Times;serif"/>
          <w:sz w:val="20"/>
        </w:rPr>
        <w:t>We acquired one business in fiscal 2026 and two businesses in fiscal 2025, as described in Note 2 to the Consolidated Financial Statements. None of these acquisitions were considered significant.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Trends and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discussion of certain trends and uncertainties that we believe have influenced, and may continue to influence,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Global Economic Considerations. </w:t>
      </w:r>
      <w:r>
        <w:rPr>
          <w:rFonts w:ascii="Times New Roman;Times;serif" w:hAnsi="Times New Roman;Times;serif"/>
          <w:sz w:val="20"/>
        </w:rPr>
        <w:t>Our products and services are sold in numerous countries worldwide, with a large percentage of our sales generated outside the United States. Therefore, we are exposed to and impacted by global macroeconomic factors, U.S. and foreign government policies and foreign exchange fluctuations. There is uncertainty surrounding macroeconomic factors in the U.S. and globally characterized by the supply chain environment, inflationary pressure, interest rate policies, and labor shortages. Increasing diplomatic and trade friction between the U.S. and China has also created significant uncertainty in the global economy. These global macroeconomic factors, coupled with political unrest internationally and the volatile U.S. political climate, have created uncertainty and impacted demand for certain of our products and services. Conflicts in Iran, Gaza and nearby regions have created political and economic uncertainty in the Middle East. Also, the continued conflict between Russia and Ukraine and the sanctions imposed in response to this conflict have increased global economic and political uncertainty. While the impact of these factors remains uncertain, we will continue to evaluate the extent to which these factors will impact our business, financial condition or results of operations. We do not know how long this uncertainty will continue. These factors could have a material adverse effect on our business, results of operations and financial condition.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Global Trade.</w:t>
      </w:r>
      <w:r>
        <w:rPr>
          <w:rFonts w:ascii="Times New Roman;Times;serif" w:hAnsi="Times New Roman;Times;serif"/>
          <w:sz w:val="20"/>
        </w:rPr>
        <w:t xml:space="preserve"> The current domestic and international political environment, including in relation to recent and further potential changes by the U.S. and other countries in policies on global trade and tariffs, have resulted in uncertainty surrounding the future state of the global economy and global trade. This uncertainty is exacerbated by sanctions imposed by the U.S. government against certain businesses and individuals in select other countries. Tariffs, trade restrictions and retaliatory measures by such other countries could result in revenue reductions for the Company or cost increases on material used in our products, which could materially and adversely affect our business, financial condition, results of operations and cash flows. Consistent with our strategy, we are taking measures to contain costs to reduce the impact of tariffs. To date, our strategies have helped minimize our exposure to these conditions. Continued or increased uncertainty regarding global trade due to these or other factors may require us to modify our current business practices and could have a material adverse effect on our business, results of operations and financial condition.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Supply and Demand for Memory and Semiconductor Components.</w:t>
      </w:r>
      <w:r>
        <w:rPr>
          <w:rFonts w:ascii="Times New Roman;Times;serif" w:hAnsi="Times New Roman;Times;serif"/>
          <w:sz w:val="20"/>
        </w:rPr>
        <w:t xml:space="preserve"> We have experienced tighter supply conditions and increased costs for certain memory associated and semiconductor components, reflecting a broader global imbalance between supply and demand for memory used in data center and AI related infrastructure. While we have taken actions to mitigate these impacts, continued constraints in component availability could adversely affect our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Geopolitical Environment. </w:t>
      </w:r>
      <w:r>
        <w:rPr>
          <w:rFonts w:ascii="Times New Roman;Times;serif" w:hAnsi="Times New Roman;Times;serif"/>
          <w:sz w:val="20"/>
        </w:rPr>
        <w:t>The global security environment remains subject to significant uncertainty due to ongoing geopolitical tensions, military conflicts, terrorist threats, and regional instability, including recent hostilities in the Middle East. Governments, transportation authorities, border protection agencies, and critical infrastructure operators continue to assess evolving security risks and may increase investments in security screening, inspection, and detection technologies. As a result, demand for certain of our security inspection products and related services could be affected by changes in government spending priorities and security requirements. At the same time, geopolitical events may influence the timing and execution of customer procurement decisions, funding approvals, contract awards, and project implementations. The extent to which current or future conflicts may affect our business will depend on the duration, geographic scope, and economic consequences of such events, as well as governmental responses that remain difficult to predict.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Conflicts in the Middle East. </w:t>
      </w:r>
      <w:r>
        <w:rPr>
          <w:rFonts w:ascii="Times New Roman;Times;serif" w:hAnsi="Times New Roman;Times;serif"/>
          <w:sz w:val="20"/>
        </w:rPr>
        <w:t>We generate a significant portion of our revenues from international markets and maintain a global supply chain supporting the design, manufacture, and servicing of our products. Escalation of geopolitical conflicts, including military activity in the Middle East, could disrupt transportation routes, logistics networks, supplier operations, and international trade flows. Such disruptions may result in shipment delays, longer lead times, project schedule delays, inventory management challenges, or higher operating costs. The conflicts in the Middle East had an impact on our operating results in the fourth quarter of fiscal year 2026 through delays in timing of shipments, customer acceptance procedures, project schedules, and new orders. Material future developments could adversely affect our ability to procure components, fulfill customer orders, deploy personnel, or complete installations in a timely manner and could have an adverse effect on our results of operations and financial condition.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 xml:space="preserve">Russia-Ukraine Conflict. </w:t>
      </w:r>
      <w:r>
        <w:rPr>
          <w:rFonts w:ascii="Times New Roman;Times;serif" w:hAnsi="Times New Roman;Times;serif"/>
          <w:sz w:val="20"/>
        </w:rPr>
        <w:t xml:space="preserve">The invasion of Ukraine by Russia and the sanctions imposed in response to this conflict have increased global economic and political uncertainty. This has the potential to indirectly disrupt our supply chain and access to certain resources. While we have not experienced significant adverse impacts to date resulting from this conflict, we have certain research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development activities within Ukraine for our Healthcare division which have been somewhat impacted. The conflicts also have increased the threat of malicious cyber-activity from other countries and other actors.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Currency Exchange Rates. </w:t>
      </w:r>
      <w:r>
        <w:rPr>
          <w:rFonts w:ascii="Times New Roman;Times;serif" w:hAnsi="Times New Roman;Times;serif"/>
          <w:sz w:val="20"/>
        </w:rPr>
        <w:t>On a year-over-year basis, currency exchange rates positively impacted reported sales by approximately 0.6% for the year ended June 30, 2026 compared to the year ended June 30, 2025, primarily due to the weakening of the U.S. dollar against other foreign currencies in fiscal 2026. Any strengthening of the U.S. dollar against foreign currencies would adversely impact our sales in future periods, and any weakening of the U.S. dollar against foreign currencies would positively impact our sales in future periods.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Significant International Security Contracts. </w:t>
      </w:r>
      <w:r>
        <w:rPr>
          <w:rFonts w:ascii="Times New Roman;Times;serif" w:hAnsi="Times New Roman;Times;serif"/>
          <w:sz w:val="20"/>
        </w:rPr>
        <w:t>During fiscal years 2023 and 2024, our Security division was awarded three significant international contracts valued in aggregate greater than $800 million. During fiscal years 2024, 2025 and 2026, we recognized revenues generated from these contracts of approximately $404 million, $231 million and $79 million, respectively. Further revenues are expected to be recognized in fiscal year 2027 and beyond, albeit at relatively lower amounts as we have fulfilled the majority of equipment deliveries as of the end of fiscal year 2026.</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 xml:space="preserve">Healthcare Considerations. </w:t>
      </w:r>
      <w:r>
        <w:rPr>
          <w:rFonts w:ascii="Times New Roman;Times;serif" w:hAnsi="Times New Roman;Times;serif"/>
          <w:sz w:val="20"/>
        </w:rPr>
        <w:t>Certain hospitals are facing significant financial pressure as supply chain constraints and inflation drive up operating costs and higher interest rates make access to credit more expensive. To the extent macroeconomic conditions remain challenging, it is likely that hospitals’ spend on capital equipment will be adversely impacted.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Government Policies.</w:t>
      </w:r>
      <w:r>
        <w:rPr>
          <w:rFonts w:ascii="Times New Roman;Times;serif" w:hAnsi="Times New Roman;Times;serif"/>
          <w:sz w:val="20"/>
        </w:rPr>
        <w:t xml:space="preserve"> Our results of operations and cash flows could be materially affected by changes in U.S. or foreign government legislative, regulatory or enforcement policies, as well as potential or actual U.S. government shutdowns, including the impact on near-term bookings and revenues of the recent Department of Homeland Security shutdown.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is based on our consolidated financial statements, which have been prepared in conformity with accounting principles generally accepted in the United States (“GAAP”). Our preparation of these consolidated financial statements requires us to make judgments and estimates that affect the reported amounts of assets and liabilities, disclosure of contingent assets and liabilities at the date of the financial statements and the reported amounts of revenues and expenses during the reporting period. We base our estimates on historical experience and on various other assumptions that we believe to be reasonable under the circumstances. As a result, actual results may differ from such estimates. Our senior management has reviewed these critical accounting policies and estimates and related disclosures with the Audit Committee of our Board of Directors. The following summarizes our critical accounting policies and estimates used in preparing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Revenue Recognition.</w:t>
      </w:r>
      <w:r>
        <w:rPr>
          <w:rFonts w:ascii="Times New Roman;Times;serif" w:hAnsi="Times New Roman;Times;serif"/>
          <w:sz w:val="20"/>
        </w:rPr>
        <w:t xml:space="preserve"> We recognize revenue when performance obligations under the terms of the contracts with our customers are satisfied. Our performance obligations are broadly categorized as product sales, service revenue, and project-specific contract revenue. Revenue from sales of products is recognized upon shipment or delivery when control of the product transfers to the customer, depending on the terms of each sale, and when collection is probable. Revenue from services includes installation and implementation of products and turnkey security screening services and after-market services. Generally, revenue from services is recognized over time as the services are performed. Sales agreements with customers can be project specific, cover a period of time, and can be renewable periodically. The contracts may contain terms and conditions with respect to payment, delivery, installation, services, warranty and other rights. Contracts with customers may include the sale of products and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certain instances, contracts with customers can contain multiple performance obligations such as civil works to prepare a site for equipment installation, training of customer personnel to operate equipment, and after-market service of equipment. We assign multiple elements in a contract into separate performance obligations if those elements are distinct, both individually and in the context of the contract. If multiple promises comprise a series of distinct services which are substantially the same and have the same pattern of transfer, they are combined and accounted for as a single performance obligation.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Inventory.</w:t>
      </w:r>
      <w:r>
        <w:rPr>
          <w:rFonts w:ascii="Times New Roman;Times;serif" w:hAnsi="Times New Roman;Times;serif"/>
          <w:sz w:val="20"/>
        </w:rPr>
        <w:t xml:space="preserve"> The majority of our inventories are valued using the average costing method with select subsidiaries using the standard costing method. Inventories are stated at the lower of cost (first-in, first-out) or net realizable value. We write down inventory for slow-moving and obsolete inventory based on historical usage, orders on hand, assessments of future demands, and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conditions, among other items. If these factors become less favorable than those projected, additional inventory write-downs may be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Income Taxes. </w:t>
      </w:r>
      <w:r>
        <w:rPr>
          <w:rFonts w:ascii="Times New Roman;Times;serif" w:hAnsi="Times New Roman;Times;serif"/>
          <w:sz w:val="20"/>
        </w:rPr>
        <w:t>Our annual tax rate is based on our income, statutory tax rates and tax planning opportunities available to us in the various jurisdictions in which we operate. Tax laws are complex and subject to different interpretations by the taxpayer and respective governmental taxing authorities. Significant judgment is required in determining our tax expense and in evaluating our tax positions including uncertainties. We review our tax positions quarterly and adjust the balances as new information becomes available. We recognize liabilities for uncertain tax positions that reflect our best estimate of the amount ultimately expected to be paid, including, where appropriate, related interest and 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by assessing the adequacy of future expected taxable income from all sources, including reversal of taxable temporary differences, forecasted operating earnings and available tax planning strategies. These sources of income inherently rely on estimates. To provide insight, we use our historical experience and our short and long-range business forecasts. We believe it is more likely than not that a portion of the deferred income tax assets may expire unused and therefore have established a valuation allowance against them. Although realization is not assured for the remaining deferred income tax assets, we believe it is more likely than not that the deferred tax assets will be fully recoverable within the applicable statutory expiration periods. However, deferred tax assets could be reduced in the near term if our estimates of taxable income are significantly reduced or available tax planning strategies are no longer viable.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(the “OBBBA”) was signed into law. Key income-tax related provisions of the OBBBA relevant to our Company include the removal of mandatory capitalization of domestic research and development expenditures, permanent extension of bonus depreciation and revisions to international tax regimes. The Company evaluated the provisions of the legislation and based on the Company’s analysis, the OBBBA did not have a material impact on the Company’s consolidated financial statements. The Company will continue to monitor any future administrative guidance related to the legislation.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Business Combinations. </w:t>
      </w:r>
      <w:r>
        <w:rPr>
          <w:rFonts w:ascii="Times New Roman;Times;serif" w:hAnsi="Times New Roman;Times;serif"/>
          <w:sz w:val="20"/>
        </w:rPr>
        <w:t>In connection with the acquisition of a business, we record the fair value of purchase consideration for the tangible and intangible assets acquired, and liabilities assumed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Our estimates of fair value are based upon assumptions believed to be reasonable, but which are inherently uncertain and unpredictable and, as a result, actual results may differ from estimates. During the measurement period, which is until we have all the necessary information about the facts and circumstances that existed as of the acquisition date up to one year from the acquisition date, we may record adjustments to the provisional amounts initially recorded for the assets acquired and liabilities assumed, with the corresponding offset to goodwill. Upon the conclusion of the measurement period, any subsequent adjustments are recorded to earnings.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Legal and Other Contingencies. </w:t>
      </w:r>
      <w:r>
        <w:rPr>
          <w:rFonts w:ascii="Times New Roman;Times;serif" w:hAnsi="Times New Roman;Times;serif"/>
          <w:sz w:val="20"/>
        </w:rPr>
        <w:t>We are subject to various claims and legal proceedings. We review the status of each significant legal dispute to which we are a party and assess our potential financial exposure, if any. If the potential financial exposure from any claim or legal proceeding is considered probable and the amount can be reasonably estimated, we record a liability and an expense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revise our estimates accordingly. Such revisions in the estimates of the potential liabilities could have a material impact on our results of operations and financial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Revenues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table below and the discussion that follows are based upon the way we analyze our business. See Note 14 to the consolidated financial statements for additional information about business segments.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2036" w:type="dxa"/>
        <w:jc w:val="left"/>
        <w:tblInd w:w="0" w:type="dxa"/>
        <w:tblLayout w:type="fixed"/>
        <w:tblCellMar>
          <w:top w:w="0" w:type="dxa"/>
          <w:left w:w="0" w:type="dxa"/>
          <w:bottom w:w="0" w:type="dxa"/>
          <w:right w:w="0" w:type="dxa"/>
        </w:tblCellMar>
      </w:tblPr>
      <w:tblGrid>
        <w:gridCol w:w="1441"/>
        <w:gridCol w:w="226"/>
        <w:gridCol w:w="211"/>
        <w:gridCol w:w="721"/>
        <w:gridCol w:w="286"/>
        <w:gridCol w:w="1081"/>
        <w:gridCol w:w="346"/>
        <w:gridCol w:w="211"/>
        <w:gridCol w:w="721"/>
        <w:gridCol w:w="346"/>
        <w:gridCol w:w="1081"/>
        <w:gridCol w:w="346"/>
        <w:gridCol w:w="211"/>
        <w:gridCol w:w="721"/>
        <w:gridCol w:w="286"/>
        <w:gridCol w:w="1081"/>
        <w:gridCol w:w="316"/>
        <w:gridCol w:w="871"/>
        <w:gridCol w:w="346"/>
        <w:gridCol w:w="871"/>
        <w:gridCol w:w="31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15035" cy="175260"/>
                      <wp:effectExtent l="0" t="0" r="0" b="0"/>
                      <wp:wrapNone/>
                      <wp:docPr id="47" name="Frame45"/>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48" name="Frame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49"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57835" cy="175260"/>
                      <wp:effectExtent l="0" t="0" r="0" b="0"/>
                      <wp:wrapNone/>
                      <wp:docPr id="50" name="Frame4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1610" cy="175260"/>
                      <wp:effectExtent l="0" t="0" r="0" b="0"/>
                      <wp:wrapNone/>
                      <wp:docPr id="51" name="Frame4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86435" cy="175260"/>
                      <wp:effectExtent l="0" t="0" r="0" b="0"/>
                      <wp:wrapNone/>
                      <wp:docPr id="52" name="Frame5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3"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4"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57835" cy="175260"/>
                      <wp:effectExtent l="0" t="0" r="0" b="0"/>
                      <wp:wrapNone/>
                      <wp:docPr id="55" name="Frame5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6"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86435" cy="175260"/>
                      <wp:effectExtent l="0" t="0" r="0" b="0"/>
                      <wp:wrapNone/>
                      <wp:docPr id="57" name="Frame55"/>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8"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59"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57835" cy="175260"/>
                      <wp:effectExtent l="0" t="0" r="0" b="0"/>
                      <wp:wrapNone/>
                      <wp:docPr id="60" name="Frame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81610" cy="175260"/>
                      <wp:effectExtent l="0" t="0" r="0" b="0"/>
                      <wp:wrapNone/>
                      <wp:docPr id="61" name="Frame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86435" cy="175260"/>
                      <wp:effectExtent l="0" t="0" r="0" b="0"/>
                      <wp:wrapNone/>
                      <wp:docPr id="62" name="Frame6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0660" cy="175260"/>
                      <wp:effectExtent l="0" t="0" r="0" b="0"/>
                      <wp:wrapNone/>
                      <wp:docPr id="63" name="Frame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53085" cy="175260"/>
                      <wp:effectExtent l="0" t="0" r="0" b="0"/>
                      <wp:wrapNone/>
                      <wp:docPr id="64" name="Frame6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5"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53085" cy="175260"/>
                      <wp:effectExtent l="0" t="0" r="0" b="0"/>
                      <wp:wrapNone/>
                      <wp:docPr id="66" name="Frame6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0660" cy="175260"/>
                      <wp:effectExtent l="0" t="0" r="0" b="0"/>
                      <wp:wrapNone/>
                      <wp:docPr id="67" name="Frame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16" w:type="dxa"/>
            <w:tcBorders/>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286" w:type="dxa"/>
            <w:tcBorders/>
            <w:vAlign w:val="center"/>
          </w:tcPr>
          <w:p>
            <w:pPr>
              <w:pStyle w:val="TableContents"/>
              <w:bidi w:val="0"/>
              <w:spacing w:before="0" w:after="0"/>
              <w:ind w:left="0" w:right="0" w:hanging="0"/>
              <w:jc w:val="center"/>
              <w:rPr/>
            </w:pPr>
            <w:r>
              <w:rPr/>
              <w:t>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center"/>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2024-2025</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2025-2026</w:t>
            </w:r>
          </w:p>
        </w:tc>
        <w:tc>
          <w:tcPr>
            <w:tcW w:w="316" w:type="dxa"/>
            <w:tcBorders/>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86" w:type="dxa"/>
            <w:tcBorders/>
            <w:vAlign w:val="center"/>
          </w:tcPr>
          <w:p>
            <w:pPr>
              <w:pStyle w:val="TableContents"/>
              <w:bidi w:val="0"/>
              <w:spacing w:before="0" w:after="0"/>
              <w:ind w:left="0" w:right="0" w:hanging="0"/>
              <w:jc w:val="center"/>
              <w:rPr/>
            </w:pPr>
            <w:r>
              <w:rPr/>
              <w:t>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4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center"/>
              <w:rPr/>
            </w:pPr>
            <w:r>
              <w:rPr/>
              <w:t>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1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w:t>
            </w:r>
          </w:p>
        </w:tc>
      </w:tr>
      <w:tr>
        <w:trPr/>
        <w:tc>
          <w:tcPr>
            <w:tcW w:w="12036"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053" w:type="dxa"/>
            <w:gridSpan w:val="1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tc>
        <w:tc>
          <w:tcPr>
            <w:tcW w:w="316" w:type="dxa"/>
            <w:tcBorders/>
            <w:vAlign w:val="center"/>
          </w:tcPr>
          <w:p>
            <w:pPr>
              <w:pStyle w:val="TableContents"/>
              <w:bidi w:val="0"/>
              <w:spacing w:before="0" w:after="0"/>
              <w:ind w:left="0" w:right="0" w:hanging="0"/>
              <w:jc w:val="left"/>
              <w:rPr/>
            </w:pPr>
            <w:r>
              <w:rPr/>
              <w:t>​</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1,043.1</w:t>
            </w:r>
          </w:p>
        </w:tc>
        <w:tc>
          <w:tcPr>
            <w:tcW w:w="28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1,196.2</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1,248.0</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Optoelectronics / Manufacturing</w:t>
            </w:r>
          </w:p>
        </w:tc>
        <w:tc>
          <w:tcPr>
            <w:tcW w:w="2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324.3</w:t>
            </w:r>
          </w:p>
        </w:tc>
        <w:tc>
          <w:tcPr>
            <w:tcW w:w="28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375.3</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286"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1,538.8</w:t>
            </w:r>
          </w:p>
        </w:tc>
        <w:tc>
          <w:tcPr>
            <w:tcW w:w="286"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1,713.2</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1,786.0</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2026 Compared with Fiscal 2025. </w:t>
      </w:r>
      <w:r>
        <w:rPr>
          <w:rFonts w:ascii="Times New Roman;Times;serif" w:hAnsi="Times New Roman;Times;serif"/>
          <w:sz w:val="20"/>
        </w:rPr>
        <w:t>Revenues for the Security division during the fiscal year ended June 30, 2026 increased by $51.8 million on a year-over-year basis primarily due to an increase in service revenues. The increase in service revenues was due primarily to the increase in the installed base of products of cargo and vehicle inspection systems and aviation and checkpoint inspection systems. Product revenues for fiscal 2026 were comparable to fiscal 2025 as an increase in revenue from RF systems and other security products were offset by a decrease in product revenues from customers in Mexico.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for the Optoelectronics and Manufacturing division during the fiscal year ended June 30, 2026 increased year-over-year by $26.7 million due to increases in our optoelectronics business and our contract manufacturing business of $8.2 million and $18.5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for the Healthcare division during the fiscal year ended June 30, 2026 decreased by $5.6 million year-over-year due primarily to a reduction in patient monitoring sales of $9.6 million, in service revenue of $1.9 million and in supplies and accessories revenue of $1.8 million, partially offset by increases in cardiology sales of $7.7 million.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0"/>
        <w:ind w:left="0" w:right="0" w:hanging="0"/>
        <w:jc w:val="left"/>
        <w:rPr/>
      </w:pPr>
      <w:r>
        <w:rPr/>
        <w:t>​</w:t>
      </w:r>
    </w:p>
    <w:tbl>
      <w:tblPr>
        <w:tblW w:w="9047" w:type="dxa"/>
        <w:jc w:val="left"/>
        <w:tblInd w:w="0" w:type="dxa"/>
        <w:tblLayout w:type="fixed"/>
        <w:tblCellMar>
          <w:top w:w="0" w:type="dxa"/>
          <w:left w:w="0" w:type="dxa"/>
          <w:bottom w:w="0" w:type="dxa"/>
          <w:right w:w="0" w:type="dxa"/>
        </w:tblCellMar>
      </w:tblPr>
      <w:tblGrid>
        <w:gridCol w:w="1066"/>
        <w:gridCol w:w="346"/>
        <w:gridCol w:w="211"/>
        <w:gridCol w:w="571"/>
        <w:gridCol w:w="346"/>
        <w:gridCol w:w="1081"/>
        <w:gridCol w:w="346"/>
        <w:gridCol w:w="211"/>
        <w:gridCol w:w="571"/>
        <w:gridCol w:w="346"/>
        <w:gridCol w:w="1081"/>
        <w:gridCol w:w="346"/>
        <w:gridCol w:w="211"/>
        <w:gridCol w:w="571"/>
        <w:gridCol w:w="346"/>
        <w:gridCol w:w="1081"/>
        <w:gridCol w:w="31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76910" cy="175260"/>
                      <wp:effectExtent l="0" t="0" r="0" b="0"/>
                      <wp:wrapNone/>
                      <wp:docPr id="68" name="Frame6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9"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0"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62585" cy="175260"/>
                      <wp:effectExtent l="0" t="0" r="0" b="0"/>
                      <wp:wrapNone/>
                      <wp:docPr id="71" name="Frame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2"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86435" cy="175260"/>
                      <wp:effectExtent l="0" t="0" r="0" b="0"/>
                      <wp:wrapNone/>
                      <wp:docPr id="73" name="Frame7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4"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5"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585" cy="175260"/>
                      <wp:effectExtent l="0" t="0" r="0" b="0"/>
                      <wp:wrapNone/>
                      <wp:docPr id="76" name="Frame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7"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86435" cy="175260"/>
                      <wp:effectExtent l="0" t="0" r="0" b="0"/>
                      <wp:wrapNone/>
                      <wp:docPr id="78" name="Frame7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9"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0"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62585" cy="175260"/>
                      <wp:effectExtent l="0" t="0" r="0" b="0"/>
                      <wp:wrapNone/>
                      <wp:docPr id="81" name="Frame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2"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86435" cy="175260"/>
                      <wp:effectExtent l="0" t="0" r="0" b="0"/>
                      <wp:wrapNone/>
                      <wp:docPr id="83" name="Frame8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0660" cy="175260"/>
                      <wp:effectExtent l="0" t="0" r="0" b="0"/>
                      <wp:wrapNone/>
                      <wp:docPr id="84" name="Frame8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16" w:type="dxa"/>
            <w:tcBorders/>
            <w:vAlign w:val="center"/>
          </w:tcPr>
          <w:p>
            <w:pPr>
              <w:pStyle w:val="TableContents"/>
              <w:bidi w:val="0"/>
              <w:spacing w:before="0" w:after="0"/>
              <w:ind w:left="0" w:right="0" w:hanging="0"/>
              <w:jc w:val="left"/>
              <w:rPr/>
            </w:pPr>
            <w:r>
              <w:rPr/>
              <w:t>​</w:t>
            </w:r>
          </w:p>
        </w:tc>
      </w:tr>
      <w:tr>
        <w:trPr/>
        <w:tc>
          <w:tcPr>
            <w:tcW w:w="9047"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19"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tc>
        <w:tc>
          <w:tcPr>
            <w:tcW w:w="316" w:type="dxa"/>
            <w:tcBorders/>
            <w:vAlign w:val="center"/>
          </w:tcPr>
          <w:p>
            <w:pPr>
              <w:pStyle w:val="TableContents"/>
              <w:bidi w:val="0"/>
              <w:spacing w:before="0" w:after="0"/>
              <w:ind w:left="0" w:right="0" w:hanging="0"/>
              <w:jc w:val="left"/>
              <w:rPr/>
            </w:pPr>
            <w:r>
              <w:rPr/>
              <w:t>​</w:t>
            </w:r>
          </w:p>
        </w:tc>
      </w:tr>
      <w:tr>
        <w:trPr/>
        <w:tc>
          <w:tcPr>
            <w:tcW w:w="1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530.5</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593.1</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2026 Compared with Fiscal 2025. </w:t>
      </w:r>
      <w:r>
        <w:rPr>
          <w:rFonts w:ascii="Times New Roman;Times;serif" w:hAnsi="Times New Roman;Times;serif"/>
          <w:sz w:val="20"/>
        </w:rPr>
        <w:t>Gross profit is impacted by sales volume and changes in overall manufacturing-related costs, such as raw materials and component costs, warranty expense, provision for inventory, freight, tariffs, and logistics. Gross profit increased approximately $5.9 million in fiscal 2026 as compared to the prior year on a 4.3% increase in net revenue. The gross margin in fiscal year 2026 was lower than the prior year due to the sales mix in the Security division arising from an unfavorable shift in revenue mix. Revenue from Security division customers in Mexico, which generated margins above the division average, declined by $148.8 million year-over-year, while revenue increased in businesses that generally carried lower margins. Gross margin was also adversely affected by lower margins in aviation and checkpoint inspection systems. These impacts were partially offset by higher revenue and improved profitability from RF systems.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0"/>
        <w:ind w:left="0" w:right="0" w:hanging="0"/>
        <w:jc w:val="left"/>
        <w:rPr/>
      </w:pPr>
      <w:r>
        <w:rPr/>
        <w:t>​</w:t>
      </w:r>
    </w:p>
    <w:tbl>
      <w:tblPr>
        <w:tblW w:w="11346" w:type="dxa"/>
        <w:jc w:val="left"/>
        <w:tblInd w:w="0" w:type="dxa"/>
        <w:tblLayout w:type="fixed"/>
        <w:tblCellMar>
          <w:top w:w="0" w:type="dxa"/>
          <w:left w:w="0" w:type="dxa"/>
          <w:bottom w:w="0" w:type="dxa"/>
          <w:right w:w="0" w:type="dxa"/>
        </w:tblCellMar>
      </w:tblPr>
      <w:tblGrid>
        <w:gridCol w:w="1291"/>
        <w:gridCol w:w="286"/>
        <w:gridCol w:w="211"/>
        <w:gridCol w:w="571"/>
        <w:gridCol w:w="286"/>
        <w:gridCol w:w="1081"/>
        <w:gridCol w:w="316"/>
        <w:gridCol w:w="211"/>
        <w:gridCol w:w="571"/>
        <w:gridCol w:w="286"/>
        <w:gridCol w:w="1081"/>
        <w:gridCol w:w="316"/>
        <w:gridCol w:w="211"/>
        <w:gridCol w:w="571"/>
        <w:gridCol w:w="286"/>
        <w:gridCol w:w="1081"/>
        <w:gridCol w:w="316"/>
        <w:gridCol w:w="871"/>
        <w:gridCol w:w="316"/>
        <w:gridCol w:w="871"/>
        <w:gridCol w:w="31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19785" cy="175260"/>
                      <wp:effectExtent l="0" t="0" r="0" b="0"/>
                      <wp:wrapNone/>
                      <wp:docPr id="85" name="Frame83"/>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1610" cy="175260"/>
                      <wp:effectExtent l="0" t="0" r="0" b="0"/>
                      <wp:wrapNone/>
                      <wp:docPr id="86" name="Frame8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88" name="Frame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1610" cy="175260"/>
                      <wp:effectExtent l="0" t="0" r="0" b="0"/>
                      <wp:wrapNone/>
                      <wp:docPr id="89" name="Frame8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86435" cy="175260"/>
                      <wp:effectExtent l="0" t="0" r="0" b="0"/>
                      <wp:wrapNone/>
                      <wp:docPr id="90" name="Frame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0660" cy="175260"/>
                      <wp:effectExtent l="0" t="0" r="0" b="0"/>
                      <wp:wrapNone/>
                      <wp:docPr id="91" name="Frame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2"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3" name="Frame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81610" cy="175260"/>
                      <wp:effectExtent l="0" t="0" r="0" b="0"/>
                      <wp:wrapNone/>
                      <wp:docPr id="94" name="Frame9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86435" cy="175260"/>
                      <wp:effectExtent l="0" t="0" r="0" b="0"/>
                      <wp:wrapNone/>
                      <wp:docPr id="95" name="Frame9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0660" cy="175260"/>
                      <wp:effectExtent l="0" t="0" r="0" b="0"/>
                      <wp:wrapNone/>
                      <wp:docPr id="96" name="Frame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7"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98"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81610" cy="175260"/>
                      <wp:effectExtent l="0" t="0" r="0" b="0"/>
                      <wp:wrapNone/>
                      <wp:docPr id="99" name="Frame9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86435" cy="175260"/>
                      <wp:effectExtent l="0" t="0" r="0" b="0"/>
                      <wp:wrapNone/>
                      <wp:docPr id="100" name="Frame9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0660" cy="175260"/>
                      <wp:effectExtent l="0" t="0" r="0" b="0"/>
                      <wp:wrapNone/>
                      <wp:docPr id="101" name="Frame9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53085" cy="175260"/>
                      <wp:effectExtent l="0" t="0" r="0" b="0"/>
                      <wp:wrapNone/>
                      <wp:docPr id="102" name="Frame10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0660" cy="175260"/>
                      <wp:effectExtent l="0" t="0" r="0" b="0"/>
                      <wp:wrapNone/>
                      <wp:docPr id="103" name="Frame1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53085" cy="175260"/>
                      <wp:effectExtent l="0" t="0" r="0" b="0"/>
                      <wp:wrapNone/>
                      <wp:docPr id="104" name="Frame10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0660" cy="175260"/>
                      <wp:effectExtent l="0" t="0" r="0" b="0"/>
                      <wp:wrapNone/>
                      <wp:docPr id="105" name="Frame1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1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28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28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2024-2025</w:t>
            </w:r>
          </w:p>
        </w:tc>
        <w:tc>
          <w:tcPr>
            <w:tcW w:w="31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2025-2026</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86" w:type="dxa"/>
            <w:tcBorders/>
            <w:vAlign w:val="center"/>
          </w:tcPr>
          <w:p>
            <w:pPr>
              <w:pStyle w:val="TableContents"/>
              <w:bidi w:val="0"/>
              <w:spacing w:before="0" w:after="0"/>
              <w:ind w:left="0" w:right="0" w:hanging="0"/>
              <w:jc w:val="center"/>
              <w:rPr/>
            </w:pPr>
            <w:r>
              <w:rPr/>
              <w:t>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16" w:type="dxa"/>
            <w:tcBorders/>
            <w:vAlign w:val="center"/>
          </w:tcPr>
          <w:p>
            <w:pPr>
              <w:pStyle w:val="TableContents"/>
              <w:bidi w:val="0"/>
              <w:spacing w:before="0" w:after="0"/>
              <w:ind w:left="0" w:right="0" w:hanging="0"/>
              <w:jc w:val="center"/>
              <w:rPr/>
            </w:pPr>
            <w:r>
              <w:rPr/>
              <w:t>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center"/>
              <w:rPr/>
            </w:pPr>
            <w:r>
              <w:rPr/>
              <w:t>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16" w:type="dxa"/>
            <w:tcBorders/>
            <w:vAlign w:val="center"/>
          </w:tcPr>
          <w:p>
            <w:pPr>
              <w:pStyle w:val="TableContents"/>
              <w:bidi w:val="0"/>
              <w:spacing w:before="0" w:after="0"/>
              <w:ind w:left="0" w:right="0" w:hanging="0"/>
              <w:jc w:val="center"/>
              <w:rPr/>
            </w:pPr>
            <w:r>
              <w:rPr/>
              <w:t>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center"/>
              <w:rPr/>
            </w:pPr>
            <w:r>
              <w:rPr/>
              <w:t>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Revenues</w:t>
            </w:r>
          </w:p>
        </w:tc>
        <w:tc>
          <w:tcPr>
            <w:tcW w:w="316" w:type="dxa"/>
            <w:tcBorders/>
            <w:vAlign w:val="center"/>
          </w:tcPr>
          <w:p>
            <w:pPr>
              <w:pStyle w:val="TableContents"/>
              <w:bidi w:val="0"/>
              <w:spacing w:before="0" w:after="0"/>
              <w:ind w:left="0" w:right="0" w:hanging="0"/>
              <w:jc w:val="center"/>
              <w:rPr/>
            </w:pPr>
            <w:r>
              <w:rPr/>
              <w:t>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w:t>
            </w:r>
          </w:p>
        </w:tc>
      </w:tr>
      <w:tr>
        <w:trPr/>
        <w:tc>
          <w:tcPr>
            <w:tcW w:w="11346"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453" w:type="dxa"/>
            <w:gridSpan w:val="1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28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restructuring and other charges</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w:t>
            </w:r>
          </w:p>
        </w:tc>
        <w:tc>
          <w:tcPr>
            <w:tcW w:w="286" w:type="dxa"/>
            <w:tcBorders/>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c>
          <w:tcPr>
            <w:tcW w:w="286" w:type="dxa"/>
            <w:tcBorders/>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w:t>
            </w:r>
          </w:p>
        </w:tc>
        <w:tc>
          <w:tcPr>
            <w:tcW w:w="286" w:type="dxa"/>
            <w:tcBorders/>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significant selling, general and administrative (“SG&amp;A”) expenses include employee compensation, sales commissions, travel, professional services, marketing expenses, and depreciation and amortization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2026 Compared with Fiscal 2025. </w:t>
      </w:r>
      <w:r>
        <w:rPr>
          <w:rFonts w:ascii="Times New Roman;Times;serif" w:hAnsi="Times New Roman;Times;serif"/>
          <w:sz w:val="20"/>
        </w:rPr>
        <w:t>SG&amp;A expense for the fiscal year ended June 30, 2026 decreased $12.5 million compared to the same prior-year period, primarily due to a favorable impact from foreign currency exchange rates and decreased employee compensation, including reduced stock-based compensation expense related to the retirement of our former CEO in fiscal year 2025, partially offset by higher bad debt expense compared to the same prior-year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Security and Healthcare divisions have historically invested substantial amounts in research and development (“R&amp;D”). We intend to continue this trend in future years, although specific programs may or may not continue to be funded and funding levels may fluctuate. R&amp;D expenses included research related to new product development and product enhancement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2026 Compared with Fiscal 2025. </w:t>
      </w:r>
      <w:r>
        <w:rPr>
          <w:rFonts w:ascii="Times New Roman;Times;serif" w:hAnsi="Times New Roman;Times;serif"/>
          <w:sz w:val="20"/>
        </w:rPr>
        <w:t>R&amp;D expense during the fiscal year ended June 30, 2026 was $5.7 million higher than in the same prior-year period, driven primarily by increased compensation costs to support new product development initiatives primarily in our Security division and Healthcare division.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restructuring and other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Impairment, restructuring and other charges generally consist of charges relating to reductions in our workforce, facilities consolidation, impairment of assets, costs related to acquisition activity, legal charges and other non-recurring charges. We have undertaken certain restructuring activities in an effort to align our global capacity and infrastructure with demand by our customers and fully integrate acquisitions, thereby improving our operational efficiency. Our efforts have helped enhance our ability to improve operating margins, retain and expand existing relationships with customers and attract new business. We may utilize similar measures in the future to realign our operations to further increase our operating efficiencies. The effect of these efforts may materially affect our future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2026 Compared with Fiscal 2025. </w:t>
      </w:r>
      <w:r>
        <w:rPr>
          <w:rFonts w:ascii="Times New Roman;Times;serif" w:hAnsi="Times New Roman;Times;serif"/>
          <w:sz w:val="20"/>
        </w:rPr>
        <w:t>During the fiscal year ended June 30, 2026, impairment, restructuring and other charges were $16.6 million and consisted of $5.1 million for employee terminations, $2.1 million in acquisition related costs, $1.2 million for impairment of assets, $0.2 million for facility closure costs for operational efficiency activities, $1.6 million in legal charges, $2.2 million for non-recurring charges in our Security division, and $4.2 million for non-recurring charges in our Healthcare division. During the fiscal year ended June 30, 2025, impairment, restructuring and other charges were $5.3 million and consisted of $0.7 million for facility closure costs for operational efficiency activities, $2.7 million for employee terminations, $0.6 million in acquisition related costs, and $1.3 million in legal charges.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and Other Expense, Net</w:t>
      </w:r>
    </w:p>
    <w:p>
      <w:pPr>
        <w:pStyle w:val="TextBody"/>
        <w:bidi w:val="0"/>
        <w:spacing w:before="0" w:after="0"/>
        <w:ind w:left="0" w:right="0" w:hanging="0"/>
        <w:jc w:val="left"/>
        <w:rPr/>
      </w:pPr>
      <w:r>
        <w:rPr/>
        <w:t>​</w:t>
      </w:r>
    </w:p>
    <w:tbl>
      <w:tblPr>
        <w:tblW w:w="5755" w:type="dxa"/>
        <w:jc w:val="left"/>
        <w:tblInd w:w="0" w:type="dxa"/>
        <w:tblLayout w:type="fixed"/>
        <w:tblCellMar>
          <w:top w:w="0" w:type="dxa"/>
          <w:left w:w="0" w:type="dxa"/>
          <w:bottom w:w="0" w:type="dxa"/>
          <w:right w:w="0" w:type="dxa"/>
        </w:tblCellMar>
      </w:tblPr>
      <w:tblGrid>
        <w:gridCol w:w="2581"/>
        <w:gridCol w:w="346"/>
        <w:gridCol w:w="211"/>
        <w:gridCol w:w="466"/>
        <w:gridCol w:w="346"/>
        <w:gridCol w:w="211"/>
        <w:gridCol w:w="466"/>
        <w:gridCol w:w="346"/>
        <w:gridCol w:w="211"/>
        <w:gridCol w:w="57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638935" cy="175260"/>
                      <wp:effectExtent l="0" t="0" r="0" b="0"/>
                      <wp:wrapNone/>
                      <wp:docPr id="106" name="Frame10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7"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08"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95910" cy="175260"/>
                      <wp:effectExtent l="0" t="0" r="0" b="0"/>
                      <wp:wrapNone/>
                      <wp:docPr id="109" name="Frame10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0"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1"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95910" cy="175260"/>
                      <wp:effectExtent l="0" t="0" r="0" b="0"/>
                      <wp:wrapNone/>
                      <wp:docPr id="112" name="Frame11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3"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4"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62585" cy="175260"/>
                      <wp:effectExtent l="0" t="0" r="0" b="0"/>
                      <wp:wrapNone/>
                      <wp:docPr id="115" name="Frame1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left"/>
              <w:rPr/>
            </w:pPr>
            <w:r>
              <w:rPr/>
              <w:t>​</w:t>
            </w:r>
          </w:p>
        </w:tc>
        <w:tc>
          <w:tcPr>
            <w:tcW w:w="6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75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Fiscal 2026 Compared with Fiscal 2025.</w:t>
      </w:r>
      <w:r>
        <w:rPr>
          <w:rFonts w:ascii="Times New Roman;Times;serif" w:hAnsi="Times New Roman;Times;serif"/>
          <w:sz w:val="20"/>
        </w:rPr>
        <w:t xml:space="preserve"> For the fiscal year ended June 30, 2026, interest and other expense, net was $26.2 million as compared to $31.4 million in the prior fiscal year. The decrease in interest and other expense, net was a result of a decrease in interest expense from lower average interest rates on our borrowings due to issuance of convertible notes and concurrent paydown of our revolving credit facility, and higher interest income on increased levels of cash in fiscal 2026 compared to the same prior year period. These favorable impacts were partially offset by an increase in other expense in fiscal 2026 of $4.4 million for prior service cost amortization due to a pension plan amendment in December 2025 for our former CEO and a $1.3 million reduction in benefit from the interest rate swap in fiscal 2026 compared to the prior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tbl>
      <w:tblPr>
        <w:tblW w:w="5455" w:type="dxa"/>
        <w:jc w:val="left"/>
        <w:tblInd w:w="0" w:type="dxa"/>
        <w:tblLayout w:type="fixed"/>
        <w:tblCellMar>
          <w:top w:w="0" w:type="dxa"/>
          <w:left w:w="0" w:type="dxa"/>
          <w:bottom w:w="0" w:type="dxa"/>
          <w:right w:w="0" w:type="dxa"/>
        </w:tblCellMar>
      </w:tblPr>
      <w:tblGrid>
        <w:gridCol w:w="2281"/>
        <w:gridCol w:w="346"/>
        <w:gridCol w:w="211"/>
        <w:gridCol w:w="466"/>
        <w:gridCol w:w="346"/>
        <w:gridCol w:w="211"/>
        <w:gridCol w:w="466"/>
        <w:gridCol w:w="346"/>
        <w:gridCol w:w="211"/>
        <w:gridCol w:w="57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48435" cy="175260"/>
                      <wp:effectExtent l="0" t="0" r="0" b="0"/>
                      <wp:wrapNone/>
                      <wp:docPr id="116" name="Frame114"/>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7"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18"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95910" cy="175260"/>
                      <wp:effectExtent l="0" t="0" r="0" b="0"/>
                      <wp:wrapNone/>
                      <wp:docPr id="119" name="Frame11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0"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1"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95910" cy="175260"/>
                      <wp:effectExtent l="0" t="0" r="0" b="0"/>
                      <wp:wrapNone/>
                      <wp:docPr id="122" name="Frame12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3"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4"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62585" cy="175260"/>
                      <wp:effectExtent l="0" t="0" r="0" b="0"/>
                      <wp:wrapNone/>
                      <wp:docPr id="125" name="Frame1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45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38.0</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effective tax rate for a particular period varies depending on a number of factors including (i) the mix of income earned in various tax jurisdictions, each of which applies a unique range of income tax rates and income tax credits, (ii) changes in previously established valuation allowances for deferred tax assets (changes are based upon our current analysis of the likelihood that these deferred tax assets will be realized), (iii) the level of non-deductible expenses, (iv) certain tax elections, (v) tax holidays granted to certain of our international subsidiaries, (vi) return to provision adjustments and (vii) changes in tax legislation.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2026 Compared with Fiscal 2025. </w:t>
      </w:r>
      <w:r>
        <w:rPr>
          <w:rFonts w:ascii="Times New Roman;Times;serif" w:hAnsi="Times New Roman;Times;serif"/>
          <w:sz w:val="20"/>
        </w:rPr>
        <w:t>For the fiscal years ended June 30, 2026 and 2025, we recorded a provision for income taxes of $38.0 million and $36.5 million, respectively. The effective tax rate for the fiscal years ended June 30, 2026 and 2025 was 19.7% and 19.6%, respectively. During the fiscal years ended June 30, 2026 and 2025, we recognized a net discrete tax benefit of $5.8 million and $6.7 million, respectively. The net discrete benefit recorded in the fiscal year ended June 30, 2026 is primarily related to equity-based compensation under ASU 2016-09, changes to prior year estimates, and changes in uncertain tax positions. The net discrete benefit recorded in the fiscal year ended June 30, 2025 is primarily related to equity-based compensation under ASU 2016-09, favorable resolution to a foreign tax dispute, and changes in uncertain tax positions.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sources of liquidity are our cash and cash equivalents, cash generated from operations, existing cash borrowing arrangements and access to capital markets. Cash and cash equivalents totaled $359.8 million at June 30, 2026, compared to $106.4 million at June 30, 2025. During fiscal 2026, we generated positive cash flow from operating activities and issued senior convertible notes which were primarily used to repay borrowings on our credit facility, repurchase shares of common stock, fund investing activities and pay taxes related to net share settlements of equity awards as discussed further below. If we continue to net settle equity awards, we will continue to use additional cash to pay our tax withholding obligations in connection with such settlements. We currently anticipate that our available funds, credit facilities and cash flow from operations will be sufficient to meet our operational cash needs for the next 12 months and foreseeable future. In addition, we anticipate that cash generated from operations, without repatriating earnings from our non-U.S. subsidiaries, and our credit facilities will be sufficient to satisfy our obligations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2025 we amended and extended our credit facility to mature in July 2030, to increase the revolving limit from $600 million to $725 million and replaced the $128.1 million term loan with a new $100.0 million term loan. The sub-limit for letters of credit was increased from $300 million to $350 million, which includes up to $300 million for borrowings in certain foreign currencies. As of June 30, 2026, there were no borrowings under the revolving credit facility, $95.8 million outstanding under the letters of credit sub-facility, and $92.5 million outstanding under the term loan. As of June 30, 2026, the amount available to borrow under the credit facility was $629.2 million. See Note 8 to the consolidated financial statements for further discussion.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Cash Provided by Operating Activities. </w:t>
      </w:r>
      <w:r>
        <w:rPr>
          <w:rFonts w:ascii="Times New Roman;Times;serif" w:hAnsi="Times New Roman;Times;serif"/>
          <w:sz w:val="20"/>
        </w:rPr>
        <w:t>Cash flows from operating activities can fluctuate significantly from period to period due to changes in net income, adjusted for non-cash items, and working capital. During fiscal 2026, cash provided by operations was $275.9 million compared to cash provided by operations of $97.6 million in the prior fiscal year. The net increase in cash flows from operating activities was due primarily to favorable changes in net working capital, largely from lower accounts receivable, an increase in deferred revenue and other liabilities, as well as higher net income compared to the same prior-year period. These favorable changes were partially offset by unfavorable fluctuations in accounts payable, advances from customers, inventory and prepaid expenses and other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Cash Used in Investing Activities. </w:t>
      </w:r>
      <w:r>
        <w:rPr>
          <w:rFonts w:ascii="Times New Roman;Times;serif" w:hAnsi="Times New Roman;Times;serif"/>
          <w:sz w:val="20"/>
        </w:rPr>
        <w:t>Net cash used in investing activities was $68.3 million during fiscal 2026 as compared to $117.9 million used during the prior year. The decrease in cash used in investing activities was primarily due to lower cash paid for the acquisition of businesses, which was $26.3 million during fiscal 2026 compared to $76.7 million in the prior fiscal year. This favorable impact was partially offset by increased capital expenditures of $30.6 million in fiscal 2026 compared to $23.8 million in the prior fiscal year. In addition, we received proceeds from the sale of property and equipment of $6.5 million in fiscal 2026 compared to $0.3 million in the same prior-year period.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 xml:space="preserve">Cash Provided by Financing Activities. </w:t>
      </w:r>
      <w:r>
        <w:rPr>
          <w:rFonts w:ascii="Times New Roman;Times;serif" w:hAnsi="Times New Roman;Times;serif"/>
          <w:sz w:val="20"/>
        </w:rPr>
        <w:t xml:space="preserve">Net cash provided by financing activities was $46.7 million during fiscal 2026, compared to $30.8 million during the prior fiscal year. The increase in cash flows from financing activities was primarily due to net proceeds of $562.9 million from issuance of the 2031 Notes, partially offset by (1) net repayment of $178.0 million on our revolving credit facility and (2) the repurchase of common shares of $271.9 million. This is compared to net proceeds in fiscal 2025 of $340.6 million from issuance of the 2029 Notes, partially offset by (1) net repayment of $228.0 million on our revolving credit facility and (2) repurchases of common shares for an aggregate of $80.4 million in the same prior-year period. In connection with the July 2025 amendment and extension of our revolving credit facility, we replaced the $128.1 million term loan with a new $100.0 million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loan. Taxes paid related to net share settlement of equity awards were $36.3 million during fiscal 2026 compared to $22.6 million in the same prior-year period.</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material cash requirements include the following contractual and other obligations.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Borrowings.</w:t>
      </w:r>
      <w:r>
        <w:rPr>
          <w:rFonts w:ascii="Times New Roman;Times;serif" w:hAnsi="Times New Roman;Times;serif"/>
          <w:sz w:val="20"/>
        </w:rPr>
        <w:t xml:space="preserve"> Outstanding debt totaled $1,001.0 million at June 30, 2026, an increase of $351.4 million from $649.6 million at June 30, 2025. This increase was due primarily to proceeds from the 2031 Notes, partially offset by repayment of outstanding revolver borrowings and net reduction in the term loan associated with our credit facility. Contractual debt maturities of $2.5 million will be payable within the next 12 months. As of June 30, 2026, we were in compliance with all financial covenants under our various borrowing agreements. See Note 8 to the consolidated financial statements for further discussion, including future contractual maturities and potential cash settlement upon conversion or redemption of the 2029 Notes and 2031 Notes. We anticipate that cash generated from our operations, existing cash borrowing arrangements and future access to capital markets should be sufficient to meet our cash requirements for at least the next 12 months. However, our future capital requirements will depend on many factors, including future business acquisitions, capital expenditures, litigation, stock repurchases and levels of research and development spending, among other factors. The adequacy of available funds will depend on many factors, including the success of our businesses in generating cash, continued compliance with financial covenants contained in our credit facility and the health of capital markets in general, among other factors.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Leases</w:t>
      </w:r>
      <w:r>
        <w:rPr>
          <w:rFonts w:ascii="Times New Roman;Times;serif" w:hAnsi="Times New Roman;Times;serif"/>
          <w:b/>
          <w:sz w:val="20"/>
        </w:rPr>
        <w:t>.</w:t>
      </w:r>
      <w:r>
        <w:rPr>
          <w:rFonts w:ascii="Times New Roman;Times;serif" w:hAnsi="Times New Roman;Times;serif"/>
          <w:sz w:val="20"/>
        </w:rPr>
        <w:t xml:space="preserve"> We have lease arrangements for certain facilities and equipment under various operating lease agreements. As of June 30, 2026, we had lease payment obligations of $48.8 million, with $13.1 million payable within the next 12 months.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Cash Held by Foreign Subsidiaries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cash and cash equivalents totaled $359.8 million at June 30, 2026. Of this amount, approximately 23% was held by our foreign subsidiaries and subject to repatriation tax considerations. These foreign funds were held primarily by our subsidiaries in India, United Kingdom, Singapore, Canada, and Malaysia. We intend to permanently reinvest certain earnings from foreign operations, and we currently do not anticipate that we will need this cash in foreign countries to fund our U.S. operations. In the event we repatriate cash from certain foreign operations and if taxes have not previously been withheld on the related earnings, we would provide for withholding taxes at the time we change our intention with regard to the reinvestment of those earnings.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September 2022, our Board of Directors increased to a total of 2,000,000 shares the maximum number of shares authorized under the stock repurchase program. This program does not expire unless our Board of Directors acts to terminate the program. During fiscal 2026, we repurchased 1,111,825 shares of our common stock. As of June 30, 2026, 78,731 shares remained available for repurchase.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August 20, 2026, we announced that our Board of Directors has approved an additional 1,000,000 shares for repurchase under our stock repurchase program, increasing the total remaining authorization to 1,078,731 shares.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timing and actual numbers of shares purchased depends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as a reduction in the number of shares of common stock issued and outstanding in our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54" w:name="ITEM7AQUANTITATIVEANDQUALITATIVE_254837"/>
      <w:bookmarkStart w:id="55" w:name="_df144a57_ed0e_46ee_af55_6fee8b26a43f"/>
      <w:bookmarkEnd w:id="54"/>
      <w:bookmarkEnd w:id="55"/>
      <w:r>
        <w:rPr>
          <w:rFonts w:ascii="Times New Roman;Times;serif" w:hAnsi="Times New Roman;Times;serif"/>
          <w:b/>
          <w:sz w:val="20"/>
        </w:rPr>
        <w:t>ITEM 7A. QUANTITATIVE AND QUALITATIVE DISCLOSURES ABOUT MARKET RISK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Market Risk</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exposed to certain market risks, which are inherent in our financial instruments and arise from transactions entered into in the normal course of business. We may enter into derivative financial instrument transactions in order to manage or reduce market risk in connection with specific foreign currency denominated transactions. We do not enter into derivative financial instrument transactions for speculative purposes.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subject to interest rate risk on our borrowings under our bank lines of credit. Consequently, our interest expense fluctuates with changes in the general level of these interest rates as we borrow under the credit facility. We utilize an interest rate swap agreement to improve the predictability of cash flows from interest payments related to our variable, Secured Overnight Financing Rate (“SOFR”) based debt. The interest rate swap matures in December 2026. As of June 30, 2025 and June 30, 2026, the notional amount of the interest rate swap hedge derivative instrument was $175 million.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Importance of International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International markets provide us with significant growth opportunities. Our financial results in future periods could, however, be adversely affected by periodic economic downturns in different regions of the world, changes in trade policies or tariffs, civil or military conflict and other political instability. We monitor economic and currency conditions around the world to evaluate whether there may be any significant effect on our international sales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international operations are subject to certain opportunities and risks, including from foreign currency fluctuations and governmental actions. We conduct business in more than 36 countries. We closely monitor our operations in each country in which we do business and seek to adopt appropriate strategies that are responsive to changing economic and political environments, and to fluctuations in foreign currencies. Weaknesses in the currencies of some of the countries in which we do business are often offset by strengths in other currencies. Foreign currency financial statements are translated into U.S. dollars at period-end rates, except that revenues, costs and expenses are translated at average rates during the reporting period. We include gains and losses resulting from foreign currency transactions in income, while we exclude those resulting from translation of financial statements from income and include them as a component of accumulated other comprehensive loss. Transaction gains and losses, which were included in our consolidated statement of operations, amounted to a net loss of approximately $5.1 million, $12.7 million, and $1.6 million for the fiscal years ended June 30, 2024, 2025 and 2026, respectively. A 10% appreciation of the U.S. dollar relative to the local currency exchange rates would have resulted in a net increase in our operating income of approximately $19.9 million in fiscal 2026. Conversely, a 10% depreciation of the U.S. dollar relative to the local currency exchange rates would have resulted in a net decrease in our operating income of approximately $19.9 million in fiscal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Heightened levels of inflation continue to present risk for us. We have experienced impacts to our materials and manufacturing costs and labor rates, and suppliers have signaled inflation-related cost pressures, which could flow through to our costs and pricing. If inflation remains at current levels for an extended period, or increases, and we are unable to successfully mitigate the impact, our costs could increase, resulting in pressure on our profits and margins. In addition, inflation and the increases in the cost of borrowing from rising interest rates could constrain the overall purchasing power of our customers for our products and services. Rising interest rates also will increase our borrowing costs. We remain committed to our ongoing efforts to increase the efficiency of our operations and improve the cost competitiveness of our products and services, which may, in part, offset cost increases from inflation.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scheduled principal maturity and estimated value of our long-term debt exposure for each of the fiscal years set forth below as of June 30, 2026 were as follows (dollars in thousands):</w:t>
      </w:r>
    </w:p>
    <w:p>
      <w:pPr>
        <w:pStyle w:val="TextBody"/>
        <w:bidi w:val="0"/>
        <w:spacing w:before="0" w:after="0"/>
        <w:ind w:left="0" w:right="0" w:hanging="0"/>
        <w:jc w:val="left"/>
        <w:rPr/>
      </w:pPr>
      <w:r>
        <w:rPr/>
        <w:t>​</w:t>
      </w:r>
    </w:p>
    <w:tbl>
      <w:tblPr>
        <w:tblW w:w="10269" w:type="dxa"/>
        <w:jc w:val="left"/>
        <w:tblInd w:w="0" w:type="dxa"/>
        <w:tblLayout w:type="fixed"/>
        <w:tblCellMar>
          <w:top w:w="0" w:type="dxa"/>
          <w:left w:w="0" w:type="dxa"/>
          <w:bottom w:w="0" w:type="dxa"/>
          <w:right w:w="0" w:type="dxa"/>
        </w:tblCellMar>
      </w:tblPr>
      <w:tblGrid>
        <w:gridCol w:w="901"/>
        <w:gridCol w:w="346"/>
        <w:gridCol w:w="196"/>
        <w:gridCol w:w="511"/>
        <w:gridCol w:w="346"/>
        <w:gridCol w:w="196"/>
        <w:gridCol w:w="511"/>
        <w:gridCol w:w="346"/>
        <w:gridCol w:w="196"/>
        <w:gridCol w:w="511"/>
        <w:gridCol w:w="346"/>
        <w:gridCol w:w="196"/>
        <w:gridCol w:w="691"/>
        <w:gridCol w:w="346"/>
        <w:gridCol w:w="196"/>
        <w:gridCol w:w="691"/>
        <w:gridCol w:w="346"/>
        <w:gridCol w:w="319"/>
        <w:gridCol w:w="567"/>
        <w:gridCol w:w="346"/>
        <w:gridCol w:w="196"/>
        <w:gridCol w:w="691"/>
        <w:gridCol w:w="346"/>
        <w:gridCol w:w="196"/>
        <w:gridCol w:w="736"/>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72135" cy="175260"/>
                      <wp:effectExtent l="0" t="0" r="0" b="0"/>
                      <wp:wrapNone/>
                      <wp:docPr id="126" name="Frame1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7"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4460" cy="175260"/>
                      <wp:effectExtent l="0" t="0" r="0" b="0"/>
                      <wp:wrapNone/>
                      <wp:docPr id="128"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24485" cy="175260"/>
                      <wp:effectExtent l="0" t="0" r="0" b="0"/>
                      <wp:wrapNone/>
                      <wp:docPr id="129" name="Frame12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0"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1" name="Frame1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24485" cy="175260"/>
                      <wp:effectExtent l="0" t="0" r="0" b="0"/>
                      <wp:wrapNone/>
                      <wp:docPr id="132" name="Frame13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3"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34"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24485" cy="175260"/>
                      <wp:effectExtent l="0" t="0" r="0" b="0"/>
                      <wp:wrapNone/>
                      <wp:docPr id="135" name="Frame13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6"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7" name="Frame1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8785" cy="175260"/>
                      <wp:effectExtent l="0" t="0" r="0" b="0"/>
                      <wp:wrapNone/>
                      <wp:docPr id="138" name="Frame1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9"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4460" cy="175260"/>
                      <wp:effectExtent l="0" t="0" r="0" b="0"/>
                      <wp:wrapNone/>
                      <wp:docPr id="140" name="Frame1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38785" cy="175260"/>
                      <wp:effectExtent l="0" t="0" r="0" b="0"/>
                      <wp:wrapNone/>
                      <wp:docPr id="141" name="Frame1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2"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2565" cy="175260"/>
                      <wp:effectExtent l="0" t="0" r="0" b="0"/>
                      <wp:wrapNone/>
                      <wp:docPr id="143" name="Frame14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60045" cy="175260"/>
                      <wp:effectExtent l="0" t="0" r="0" b="0"/>
                      <wp:wrapNone/>
                      <wp:docPr id="144" name="Frame142"/>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5"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46" name="Frame1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47"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8"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49" name="Frame1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67360" cy="175260"/>
                      <wp:effectExtent l="0" t="0" r="0" b="0"/>
                      <wp:wrapNone/>
                      <wp:docPr id="150" name="Frame14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511"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2032 and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2031</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Term loan at 4.86% annual interest (1)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92,500</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Notes at 2.25% annual 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467,505</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2031 Notes at 0.50% annual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575,000</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537,913</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 obligations 4.6% annual 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125</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term loan bears interest at SOFR plus a margin which can range from 1.0% to 1.75% based on our consolidated net leverage ratio as defined in the credit facility.</w:t>
            </w:r>
          </w:p>
        </w:tc>
      </w:tr>
    </w:tbl>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56" w:name="ITEM8FINANCIALSTATEMENTSANDSUPPLEMENTARY"/>
      <w:bookmarkStart w:id="57" w:name="_8d8801ec_8df9_4238_8fc1_34c362abd17c"/>
      <w:bookmarkEnd w:id="56"/>
      <w:bookmarkEnd w:id="57"/>
      <w:r>
        <w:rPr>
          <w:rFonts w:ascii="Times New Roman;Times;serif" w:hAnsi="Times New Roman;Times;serif"/>
          <w:b/>
          <w:sz w:val="20"/>
        </w:rPr>
        <w:t>ITEM 8. FINANCIAL STATEMENTS AND SUPPLEMENTARY DATA</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make reference here to the Index to Consolidated Financial Statements that appears on page F-1 of this report. The Report of Independent Registered Public Accounting Firm from Grant Thornton LLP, the Consolidated Financial Statements, the Notes to Consolidated Financial Statements, and Supplementary Data—Unaudited Quarterly Results listed in the Index to Consolidated Financial Statements, which appear beginning on page F-2 of this report, are incorporated by reference into this Item 8.</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58" w:name="ITEM9CHANGESINANDDISAGREEMENTS_858061"/>
      <w:bookmarkStart w:id="59" w:name="_a80cdb69_2fa1_4e42_ab26_a0520348d001"/>
      <w:bookmarkEnd w:id="58"/>
      <w:bookmarkEnd w:id="59"/>
      <w:r>
        <w:rPr>
          <w:rFonts w:ascii="Times New Roman;Times;serif" w:hAnsi="Times New Roman;Times;serif"/>
          <w:b/>
          <w:sz w:val="20"/>
        </w:rPr>
        <w:t>ITEM 9. CHANGES IN AND DISAGREEMENTS WITH ACCOUNTANTS ON ACCOUNTING AND</w:t>
      </w:r>
      <w:r>
        <w:rPr>
          <w:rFonts w:ascii="Times New Roman;Times;serif" w:hAnsi="Times New Roman;Times;serif"/>
          <w:sz w:val="20"/>
        </w:rPr>
        <w:t xml:space="preserve"> </w:t>
      </w:r>
      <w:r>
        <w:rPr>
          <w:rFonts w:ascii="Times New Roman;Times;serif" w:hAnsi="Times New Roman;Times;serif"/>
          <w:b/>
          <w:sz w:val="20"/>
        </w:rPr>
        <w:t>FINANCIAL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0" w:name="ITEM9ACONTROLSANDPROCEDURES_789139"/>
      <w:bookmarkStart w:id="61" w:name="_53579aac_76af_4d48_83b5_640891d27cbe"/>
      <w:bookmarkEnd w:id="60"/>
      <w:bookmarkEnd w:id="61"/>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Annual Report on Form 10-K,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management is responsible for establishing and maintaining adequate internal control over financial reporting (as such term is defined in Rule 13a-15(f) or 15d-15(f) of the Exchange Act) for the Company. Under the supervision and with the participation of management, including our Chief Executive Officer and Chief Financial Officer, we conducted an evaluation of the effectiveness of our internal control over financial reporting based on the framework and criteria established in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in 2013. Our assessment of, and conclusion on, the effectiveness of internal control over financial reporting did not include the internal controls of a wholly-owned subsidiary acquired in June 2026, which is included in our consolidated financial statements since the date of acquisition, whose financial statements reflect total assets and net revenues constituting 1.5% and less than 0.1%, respectively, of the related consolidated financial statement amounts as of and for the year ended June 30, 2026. Based on that evaluation, management concluded that our internal control over financial reporting was effective as of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effectiveness of the Company’s internal control over financial reporting as of June 30, 2026 has been audited by Grant Thornton LLP, an independent registered public accounting firm, as stated in its report, which is included in Item 8 of this Annual Report on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the fourth quarter of fiscal 2026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 w:name="ITEM9BOTHERINFORMATION_604897"/>
      <w:bookmarkStart w:id="63" w:name="_c772ed5f_bf67_4679_a2d7_edad52892bf8"/>
      <w:bookmarkEnd w:id="62"/>
      <w:bookmarkEnd w:id="63"/>
      <w:r>
        <w:rPr>
          <w:rFonts w:ascii="Times New Roman;Times;serif" w:hAnsi="Times New Roman;Times;serif"/>
          <w:b/>
          <w:sz w:val="20"/>
        </w:rPr>
        <w:t>ITEM 9B. OTHER INFORMATION</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During the quarter ended June 30, 2026, none of our directors or Section 16 officers adopted, modified</w:t>
      </w:r>
      <w:r>
        <w:rPr>
          <w:rFonts w:ascii="Times New Roman;Times;serif" w:hAnsi="Times New Roman;Times;serif"/>
          <w:sz w:val="24"/>
        </w:rPr>
        <w:t xml:space="preserve"> </w:t>
      </w:r>
      <w:r>
        <w:rPr>
          <w:rFonts w:ascii="Times New Roman;Times;serif" w:hAnsi="Times New Roman;Times;serif"/>
          <w:sz w:val="20"/>
        </w:rPr>
        <w:t>or terminated</w:t>
      </w:r>
      <w:r>
        <w:rPr>
          <w:rFonts w:ascii="Times New Roman;Times;serif" w:hAnsi="Times New Roman;Times;serif"/>
          <w:sz w:val="24"/>
        </w:rPr>
        <w:t xml:space="preserve"> </w:t>
      </w:r>
      <w:r>
        <w:rPr>
          <w:rFonts w:ascii="Times New Roman;Times;serif" w:hAnsi="Times New Roman;Times;serif"/>
          <w:sz w:val="20"/>
        </w:rPr>
        <w:t>a Rule 10b5 - 1 trading arrangement or non - Rule 10b5 - 1 trading arrangement, as those terms are defined in Regulation S - K, Item 408.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4" w:name="ITEM9CDISCLOSUREREGARDINGFOREIGNJURISDIC"/>
      <w:bookmarkStart w:id="65" w:name="_8a77fd7a_cbcf_470c_80bf_8e2ff555ac76"/>
      <w:bookmarkEnd w:id="64"/>
      <w:bookmarkEnd w:id="65"/>
      <w:r>
        <w:rPr>
          <w:rFonts w:ascii="Times New Roman;Times;serif" w:hAnsi="Times New Roman;Times;serif"/>
          <w:b/>
          <w:sz w:val="20"/>
        </w:rPr>
        <w:t>ITEM 9C. DISCLOSURE REGARDING FOREIGN JURISDICTIONS THAT PREVENT INSPECTIONS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6" w:name="PARTIII_833298"/>
      <w:bookmarkStart w:id="67" w:name="_9c997204_a1ef_4b9e_ad7b_16cdaff9d67c"/>
      <w:bookmarkEnd w:id="66"/>
      <w:bookmarkEnd w:id="67"/>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68" w:name="ITEM10DIRECTORS_185860"/>
      <w:bookmarkEnd w:id="68"/>
      <w:r>
        <w:rPr>
          <w:rFonts w:ascii="Times New Roman;Times;serif" w:hAnsi="Times New Roman;Times;serif"/>
          <w:b/>
          <w:sz w:val="20"/>
        </w:rPr>
        <w:t>ITEM 10. DIRECTORS, EXECUTIVE OFFICERS AND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Item 10 is incorporated by reference from our definitive proxy statement for our annual stockholders’ meeting, presently scheduled to be held in December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 Code of Ethics and Conduct that applies to all directors, officers and employees. The Code of Ethics and Conduct is available on our website at www.osi-systems.com under the Investor Relations - Corporate Governance section.</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We have also adopted the OSI Systems, Inc. Insider Trading Policy</w:t>
      </w:r>
      <w:r>
        <w:rPr>
          <w:rFonts w:ascii="Times New Roman;Times;serif" w:hAnsi="Times New Roman;Times;serif"/>
          <w:sz w:val="24"/>
        </w:rPr>
        <w:t xml:space="preserve"> </w:t>
      </w:r>
      <w:r>
        <w:rPr>
          <w:rFonts w:ascii="Times New Roman;Times;serif" w:hAnsi="Times New Roman;Times;serif"/>
          <w:sz w:val="20"/>
        </w:rPr>
        <w:t>that governs the purchase and sale or other dispositions of the Company’s securities by directors, officers and employees that is designed to promote compliance with insider trading laws, rules and regulations and any listing standards applicable to the Company. A copy of the OSI Systems, Inc. Insider Trading Policy is filed as Exhibit 19.1 to this Annual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9" w:name="ITEM11EXECUTIVECOMPENSATION_833198"/>
      <w:bookmarkStart w:id="70" w:name="_7f3980c1_2a43_4ef6_a0d2_8c345a79875a"/>
      <w:bookmarkEnd w:id="69"/>
      <w:bookmarkEnd w:id="70"/>
      <w:r>
        <w:rPr>
          <w:rFonts w:ascii="Times New Roman;Times;serif" w:hAnsi="Times New Roman;Times;serif"/>
          <w:b/>
          <w:sz w:val="20"/>
        </w:rPr>
        <w:t>ITEM 11. EXECUTIVE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Item 11 is incorporated by reference from our definitive proxy statement for our annual stockholders’ meeting, presently scheduled to be held in December 2026.</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1" w:name="ITEM12SECURITYOWNERSHIPOFCERTAINBENEFICI"/>
      <w:bookmarkStart w:id="72" w:name="_fcaa015e_6ad8_49b9_9453_dd33094e1a05"/>
      <w:bookmarkEnd w:id="71"/>
      <w:bookmarkEnd w:id="72"/>
      <w:r>
        <w:rPr>
          <w:rFonts w:ascii="Times New Roman;Times;serif" w:hAnsi="Times New Roman;Times;serif"/>
          <w:b/>
          <w:sz w:val="20"/>
        </w:rPr>
        <w:t>ITEM 12. SECURITY OWNERSHIP OF CERTAIN BENEFICIAL OWNERS AND MANAGEMENT AND</w:t>
      </w:r>
      <w:r>
        <w:rPr>
          <w:rFonts w:ascii="Times New Roman;Times;serif" w:hAnsi="Times New Roman;Times;serif"/>
          <w:sz w:val="20"/>
        </w:rPr>
        <w:t xml:space="preserve"> </w:t>
      </w:r>
      <w:r>
        <w:rPr>
          <w:rFonts w:ascii="Times New Roman;Times;serif" w:hAnsi="Times New Roman;Times;serif"/>
          <w:b/>
          <w:sz w:val="20"/>
        </w:rPr>
        <w:t>RELATED STOCKHOLDER MATTERS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Item 12 is incorporated by reference from our definitive proxy statement for our annual stockholders’ meeting, presently scheduled to be held in December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73" w:name="ITEM13CERTAINRELATIONSHIPSANDRELATED_503"/>
      <w:bookmarkStart w:id="74" w:name="_dea18fa3_3b33_436b_aaf5_71b5024816e8"/>
      <w:bookmarkEnd w:id="73"/>
      <w:bookmarkEnd w:id="74"/>
      <w:r>
        <w:rPr>
          <w:rFonts w:ascii="Times New Roman;Times;serif" w:hAnsi="Times New Roman;Times;serif"/>
          <w:b/>
          <w:sz w:val="20"/>
        </w:rPr>
        <w:t>ITEM 13. CERTAIN RELATIONSHIPS AND RELATED TRANSACTIONS, AND DIRECTOR</w:t>
      </w:r>
      <w:r>
        <w:rPr>
          <w:rFonts w:ascii="Times New Roman;Times;serif" w:hAnsi="Times New Roman;Times;serif"/>
          <w:sz w:val="20"/>
        </w:rPr>
        <w:t xml:space="preserve"> </w:t>
      </w:r>
      <w:r>
        <w:rPr>
          <w:rFonts w:ascii="Times New Roman;Times;serif" w:hAnsi="Times New Roman;Times;serif"/>
          <w:b/>
          <w:sz w:val="20"/>
        </w:rPr>
        <w:t>INDEPENDENCE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Item 13 is incorporated by reference from our definitive proxy statement for our annual stockholders’ meeting, presently scheduled to be held in December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5" w:name="ITEM14PRINCIPALACCOUNTANTFEESANDSERVICES"/>
      <w:bookmarkStart w:id="76" w:name="_d9905a6b_eaed_4c9c_8f5d_78c49f4420be"/>
      <w:bookmarkEnd w:id="75"/>
      <w:bookmarkEnd w:id="76"/>
      <w:r>
        <w:rPr>
          <w:rFonts w:ascii="Times New Roman;Times;serif" w:hAnsi="Times New Roman;Times;serif"/>
          <w:b/>
          <w:sz w:val="20"/>
        </w:rPr>
        <w:t>ITEM 14. PRINCIPAL ACCOUNTANT FEES AND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Item 14 is incorporated by reference from our definitive proxy statement for our annual stockholders’ meeting, presently scheduled to be held in December 2026.</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7" w:name="PARTIV_575613"/>
      <w:bookmarkStart w:id="78" w:name="_a834d05c_21da_4721_9cb7_e3b37fe3d98d"/>
      <w:bookmarkEnd w:id="77"/>
      <w:bookmarkEnd w:id="78"/>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79" w:name="ITEM15EXHIBITSANDFINANCIAL_548591"/>
      <w:bookmarkEnd w:id="79"/>
      <w:r>
        <w:rPr>
          <w:rFonts w:ascii="Times New Roman;Times;serif" w:hAnsi="Times New Roman;Times;serif"/>
          <w:b/>
          <w:sz w:val="20"/>
        </w:rPr>
        <w:t>ITEM 15. EXHIBITS AND FINANCIAL STATEMENT SCHEDULES</w:t>
      </w:r>
    </w:p>
    <w:tbl>
      <w:tblPr>
        <w:tblW w:w="5091" w:type="dxa"/>
        <w:jc w:val="left"/>
        <w:tblInd w:w="0" w:type="dxa"/>
        <w:tblLayout w:type="fixed"/>
        <w:tblCellMar>
          <w:top w:w="28" w:type="dxa"/>
          <w:left w:w="28" w:type="dxa"/>
          <w:bottom w:w="28" w:type="dxa"/>
          <w:right w:w="28" w:type="dxa"/>
        </w:tblCellMar>
      </w:tblPr>
      <w:tblGrid>
        <w:gridCol w:w="124"/>
        <w:gridCol w:w="31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report:</w:t>
            </w:r>
          </w:p>
        </w:tc>
      </w:tr>
    </w:tbl>
    <w:tbl>
      <w:tblPr>
        <w:tblW w:w="10205" w:type="dxa"/>
        <w:jc w:val="left"/>
        <w:tblInd w:w="0" w:type="dxa"/>
        <w:tblLayout w:type="fixed"/>
        <w:tblCellMar>
          <w:top w:w="28" w:type="dxa"/>
          <w:left w:w="28" w:type="dxa"/>
          <w:bottom w:w="28" w:type="dxa"/>
          <w:right w:w="28" w:type="dxa"/>
        </w:tblCellMar>
      </w:tblPr>
      <w:tblGrid>
        <w:gridCol w:w="124"/>
        <w:gridCol w:w="221"/>
        <w:gridCol w:w="98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Financial Statements. </w:t>
            </w:r>
            <w:r>
              <w:rPr>
                <w:rFonts w:ascii="Times New Roman;Times;serif" w:hAnsi="Times New Roman;Times;serif"/>
                <w:b w:val="false"/>
                <w:i w:val="false"/>
                <w:caps w:val="false"/>
                <w:smallCaps w:val="false"/>
                <w:sz w:val="20"/>
              </w:rPr>
              <w:t>Please see the accompanying Index to Consolidated Financial Statements, which appears on page F-1 of the report. The Report of Independent Registered Public Accounting Firm, the Consolidated Financial Statements and the Notes to Consolidated Financial Statements listed in the Index to Consolidated Financial Statements, which appear beginning on page F-2 of this report, are incorporated by reference into Item 8 above.</w:t>
            </w:r>
          </w:p>
        </w:tc>
      </w:tr>
    </w:tbl>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7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Financial Statement Schedules</w:t>
            </w:r>
            <w:r>
              <w:rPr>
                <w:rFonts w:ascii="Times New Roman;Times;serif" w:hAnsi="Times New Roman;Times;serif"/>
                <w:b w:val="false"/>
                <w:i w:val="false"/>
                <w:caps w:val="false"/>
                <w:smallCaps w:val="false"/>
                <w:sz w:val="20"/>
              </w:rPr>
              <w:t>.</w:t>
            </w:r>
          </w:p>
        </w:tc>
      </w:tr>
    </w:tbl>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Supplementary Data—Unaudited Quarterly Results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No other financial statement schedules are presented as the required information is either not applicable or included in the Consolidated Financial Statements or Notes thereto.</w:t>
      </w:r>
    </w:p>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0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Exhibits. </w:t>
            </w:r>
            <w:r>
              <w:rPr>
                <w:rFonts w:ascii="Times New Roman;Times;serif" w:hAnsi="Times New Roman;Times;serif"/>
                <w:b w:val="false"/>
                <w:i w:val="false"/>
                <w:caps w:val="false"/>
                <w:smallCaps w:val="false"/>
                <w:sz w:val="20"/>
              </w:rPr>
              <w:t>Reference is made to item 15(b) below.</w:t>
            </w:r>
          </w:p>
        </w:tc>
      </w:tr>
    </w:tbl>
    <w:tbl>
      <w:tblPr>
        <w:tblW w:w="10205" w:type="dxa"/>
        <w:jc w:val="left"/>
        <w:tblInd w:w="0" w:type="dxa"/>
        <w:tblLayout w:type="fixed"/>
        <w:tblCellMar>
          <w:top w:w="28" w:type="dxa"/>
          <w:left w:w="28" w:type="dxa"/>
          <w:bottom w:w="28" w:type="dxa"/>
          <w:right w:w="28" w:type="dxa"/>
        </w:tblCellMar>
      </w:tblPr>
      <w:tblGrid>
        <w:gridCol w:w="124"/>
        <w:gridCol w:w="309"/>
        <w:gridCol w:w="97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Exhibits. </w:t>
            </w:r>
            <w:r>
              <w:rPr>
                <w:rFonts w:ascii="Times New Roman;Times;serif" w:hAnsi="Times New Roman;Times;serif"/>
                <w:b w:val="false"/>
                <w:i w:val="false"/>
                <w:caps w:val="false"/>
                <w:smallCaps w:val="false"/>
                <w:sz w:val="20"/>
              </w:rPr>
              <w:t>The exhibits listed on the accompanying Exhibit Index immediately preceding the signature page are filed as part of, or are incorporated by reference into, this report.</w:t>
            </w:r>
          </w:p>
        </w:tc>
      </w:tr>
    </w:tbl>
    <w:tbl>
      <w:tblPr>
        <w:tblW w:w="6576" w:type="dxa"/>
        <w:jc w:val="left"/>
        <w:tblInd w:w="0" w:type="dxa"/>
        <w:tblLayout w:type="fixed"/>
        <w:tblCellMar>
          <w:top w:w="28" w:type="dxa"/>
          <w:left w:w="28" w:type="dxa"/>
          <w:bottom w:w="28" w:type="dxa"/>
          <w:right w:w="28" w:type="dxa"/>
        </w:tblCellMar>
      </w:tblPr>
      <w:tblGrid>
        <w:gridCol w:w="124"/>
        <w:gridCol w:w="31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1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Financial Statement Schedules. </w:t>
            </w:r>
            <w:r>
              <w:rPr>
                <w:rFonts w:ascii="Times New Roman;Times;serif" w:hAnsi="Times New Roman;Times;serif"/>
                <w:b w:val="false"/>
                <w:i w:val="false"/>
                <w:caps w:val="false"/>
                <w:smallCaps w:val="false"/>
                <w:sz w:val="20"/>
              </w:rPr>
              <w:t>Reference is made to Item 15(a)(2) above.</w:t>
            </w:r>
          </w:p>
        </w:tc>
      </w:tr>
    </w:tbl>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0" w:name="ITEM16FORM10KSUMMARY_908772"/>
      <w:bookmarkStart w:id="81" w:name="_a3fb3bf0_a7e7_493a_86e6_8c82ad20210e"/>
      <w:bookmarkEnd w:id="80"/>
      <w:bookmarkEnd w:id="81"/>
      <w:r>
        <w:rPr>
          <w:rFonts w:ascii="Times New Roman;Times;serif" w:hAnsi="Times New Roman;Times;serif"/>
          <w:b/>
          <w:sz w:val="20"/>
        </w:rPr>
        <w:t>ITEM 16. FORM 10-K SUMMARY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2" w:name="_da9b2a44_e955_40b4_a609_aff4cd275ce4"/>
      <w:bookmarkEnd w:id="82"/>
      <w:r>
        <w:rPr>
          <w:rFonts w:ascii="Times New Roman;Times;serif" w:hAnsi="Times New Roman;Times;serif"/>
          <w:b/>
          <w:sz w:val="20"/>
        </w:rPr>
        <w:t>OSI SYSTEMS,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288"/>
        <w:gridCol w:w="346"/>
        <w:gridCol w:w="571"/>
      </w:tblGrid>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9288" w:type="dxa"/>
            <w:tcBorders/>
            <w:vAlign w:val="center"/>
          </w:tcPr>
          <w:p>
            <w:pPr>
              <w:pStyle w:val="TableContents"/>
              <w:bidi w:val="0"/>
              <w:spacing w:before="0" w:after="0"/>
              <w:ind w:left="0" w:right="0" w:hanging="0"/>
              <w:jc w:val="left"/>
              <w:rPr/>
            </w:pPr>
            <w:hyperlink w:anchor="Report_GT">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4"/>
              </w:rPr>
              <w:t xml:space="preserve"> </w:t>
            </w:r>
            <w:r>
              <w:rPr>
                <w:rFonts w:ascii="Times New Roman;Times;serif" w:hAnsi="Times New Roman;Times;serif"/>
                <w:sz w:val="20"/>
              </w:rPr>
              <w:t>(Grant Thornton LLP, Los Angeles, CA, PCAOB ID: 248)</w:t>
            </w:r>
          </w:p>
        </w:tc>
        <w:tc>
          <w:tcPr>
            <w:tcW w:w="346"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288" w:type="dxa"/>
            <w:tcBorders/>
            <w:vAlign w:val="center"/>
          </w:tcPr>
          <w:p>
            <w:pPr>
              <w:pStyle w:val="TableContents"/>
              <w:bidi w:val="0"/>
              <w:spacing w:before="0" w:after="0"/>
              <w:ind w:left="0" w:right="0" w:hanging="0"/>
              <w:jc w:val="left"/>
              <w:rPr/>
            </w:pPr>
            <w:hyperlink w:anchor="ReportofIndependent_537929">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(Grant Thornton LLP, Los Angeles, CA)</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288" w:type="dxa"/>
            <w:tcBorders/>
            <w:vAlign w:val="center"/>
          </w:tcPr>
          <w:p>
            <w:pPr>
              <w:pStyle w:val="TableContents"/>
              <w:bidi w:val="0"/>
              <w:spacing w:before="0" w:after="0"/>
              <w:ind w:left="0" w:right="0" w:hanging="0"/>
              <w:jc w:val="left"/>
              <w:rPr/>
            </w:pPr>
            <w:hyperlink w:anchor="CONSOLIDATEDBALANCESHEETS_755180">
              <w:r>
                <w:rPr>
                  <w:rStyle w:val="InternetLink"/>
                  <w:rFonts w:ascii="Times New Roman;Times;serif" w:hAnsi="Times New Roman;Times;serif"/>
                  <w:b w:val="false"/>
                  <w:i w:val="false"/>
                  <w:caps w:val="false"/>
                  <w:smallCaps w:val="false"/>
                  <w:sz w:val="20"/>
                </w:rPr>
                <w:t>Consolidated Balance Sheets</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288" w:type="dxa"/>
            <w:tcBorders/>
            <w:vAlign w:val="center"/>
          </w:tcPr>
          <w:p>
            <w:pPr>
              <w:pStyle w:val="TableContents"/>
              <w:bidi w:val="0"/>
              <w:spacing w:before="0" w:after="0"/>
              <w:ind w:left="0" w:right="0" w:hanging="0"/>
              <w:jc w:val="left"/>
              <w:rPr/>
            </w:pPr>
            <w:hyperlink w:anchor="CONSOLIDATEDSTATEMENTSOFOPERATIONS_55780">
              <w:r>
                <w:rPr>
                  <w:rStyle w:val="InternetLink"/>
                  <w:rFonts w:ascii="Times New Roman;Times;serif" w:hAnsi="Times New Roman;Times;serif"/>
                  <w:b w:val="false"/>
                  <w:i w:val="false"/>
                  <w:caps w:val="false"/>
                  <w:smallCaps w:val="false"/>
                  <w:sz w:val="20"/>
                </w:rPr>
                <w:t>Consolidated Statements of Operations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288" w:type="dxa"/>
            <w:tcBorders/>
            <w:vAlign w:val="center"/>
          </w:tcPr>
          <w:p>
            <w:pPr>
              <w:pStyle w:val="TableContents"/>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288"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9288" w:type="dxa"/>
            <w:tcBorders/>
            <w:vAlign w:val="center"/>
          </w:tcPr>
          <w:p>
            <w:pPr>
              <w:pStyle w:val="TableContents"/>
              <w:bidi w:val="0"/>
              <w:spacing w:before="0" w:after="0"/>
              <w:ind w:left="0" w:right="0" w:hanging="0"/>
              <w:jc w:val="left"/>
              <w:rPr/>
            </w:pPr>
            <w:hyperlink w:anchor="CONSOLIDATEDSTATEMENTSOFCASHFLOWS_79656">
              <w:r>
                <w:rPr>
                  <w:rStyle w:val="InternetLink"/>
                  <w:rFonts w:ascii="Times New Roman;Times;serif" w:hAnsi="Times New Roman;Times;serif"/>
                  <w:b w:val="false"/>
                  <w:i w:val="false"/>
                  <w:caps w:val="false"/>
                  <w:smallCaps w:val="false"/>
                  <w:sz w:val="20"/>
                </w:rPr>
                <w:t>Consolidated Statements of Cash Flows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r>
        <w:trPr/>
        <w:tc>
          <w:tcPr>
            <w:tcW w:w="9288" w:type="dxa"/>
            <w:tcBorders/>
            <w:vAlign w:val="center"/>
          </w:tcPr>
          <w:p>
            <w:pPr>
              <w:pStyle w:val="TableContents"/>
              <w:bidi w:val="0"/>
              <w:spacing w:before="0" w:after="0"/>
              <w:ind w:left="0" w:right="0" w:hanging="0"/>
              <w:jc w:val="left"/>
              <w:rPr/>
            </w:pPr>
            <w:hyperlink w:anchor="a1SUMMARYOFSIGNIFICANTACCOUNTINGPOLICIES">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F-11</w:t>
            </w:r>
          </w:p>
        </w:tc>
      </w:tr>
      <w:tr>
        <w:trPr/>
        <w:tc>
          <w:tcPr>
            <w:tcW w:w="9288" w:type="dxa"/>
            <w:tcBorders/>
            <w:vAlign w:val="center"/>
          </w:tcPr>
          <w:p>
            <w:pPr>
              <w:pStyle w:val="TableContents"/>
              <w:bidi w:val="0"/>
              <w:spacing w:before="0" w:after="0"/>
              <w:ind w:left="0" w:right="0" w:hanging="0"/>
              <w:jc w:val="left"/>
              <w:rPr/>
            </w:pPr>
            <w:hyperlink w:anchor="SUPPLEMENTARYDATA_962185">
              <w:r>
                <w:rPr>
                  <w:rStyle w:val="InternetLink"/>
                  <w:rFonts w:ascii="Times New Roman;Times;serif" w:hAnsi="Times New Roman;Times;serif"/>
                  <w:b w:val="false"/>
                  <w:i w:val="false"/>
                  <w:caps w:val="false"/>
                  <w:smallCaps w:val="false"/>
                  <w:sz w:val="20"/>
                </w:rPr>
                <w:t>Supplementary Data—Unaudited Quarterly Results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83" w:name="_213965c0_d1ac_4e66_bf04_12691533f743"/>
      <w:bookmarkStart w:id="84" w:name="Report_GT"/>
      <w:bookmarkEnd w:id="83"/>
      <w:bookmarkEnd w:id="84"/>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Board of Directors and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OSI Systems, Inc.</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audited the accompanying consolidated balance sheets of OSI Systems, Inc. (a Delaware corporation) and subsidiaries (the “Company”) as of June 30, 2026 and 2025, the related consolidated statements of operations, comprehensive income, stockholders' equity, and cash flows for each of the three years in the period ended June 30, 2026,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June 30, 2026,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and our report dated August 21, 2026, expressed an unqualified opinion.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Remaining performance obligations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discussed in Note 5 to the consolidated financial statements, the Company revised the scope of the disclosure of remaining performance obligations to no longer apply optional disclosure-only exemptions that permit an entity to not disclose information about remaining performance obligations for performance obligations that are part of contracts with an original expected duration of one year or less. This change affects only the scope of the Company’s remaining performance obligation disclosure and does not affect the Company’s revenue recognition, results of operations, or financial position. Management believes this method is preferable because it provides more useful information to users of the financial statements by presenting a more comprehensive measure of remaining performance obligations. Our opinion is not modified with respect to this matter.</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Determination of standalone selling price – Security Segment Product Revenue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described in Note 1 to the consolidated financial statements, the Company’s revenue contracts in the security segment may include multiple performance obligations, which are accounted for separately when they are distinct. The Company derives revenues in the security segment mainly from sales of products, installation, project management and training services. The Company allocates the transaction price to the distinct performance obligations on a relative stand-alone selling price basis and recognizes revenue when control is transferred. We identified the determination of the stand-alone selling price related to product revenues in the Security segment as a critical audit matter.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Auditing the Company’s product revenue stand-alone selling price in the security segment was complex due to the subjectivity of the assumptions that were used in developing the stand-alone selling price of distinct performance obligations. Evaluating the appropriateness of these assumptions requires extensive audit effort due to the complexity of these contracts and a high degree of auditor judgment when performing audit procedures and evaluating the results of those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obtained an understanding, evaluated design and tested the operating effectiveness of internal controls related to the determination of the stand-alone selling prices related to the security segment.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test management’s determination of stand-alone selling price for each performance obligation, we performed procedures to evaluate the methodology applied. We evaluated the Company’s analysis of stand-alone selling price, including inspecting a sample of executed contracts. For the sample selected we evaluated the contracts to determine the appropriateness of the method used and the underlying data including cost details and margin percentages to estimate the stand-alone selling price.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5" w:name="Tc_6HRj75nKm0uqAYaIagNk0A_5_0"/>
      <w:bookmarkStart w:id="86" w:name="Tc_HslzjRewbk605Q6zQWbfjg_2_0"/>
      <w:bookmarkStart w:id="87" w:name="Tc_ml3BBlcn-U6knJzE81r_RA_1_0"/>
      <w:bookmarkStart w:id="88" w:name="_77a0dd49_71ed_4d7c_8d6b_b9701e5c5d80"/>
      <w:bookmarkStart w:id="89" w:name="Tc_6HRj75nKm0uqAYaIagNk0A_5_0"/>
      <w:bookmarkStart w:id="90" w:name="Tc_HslzjRewbk605Q6zQWbfjg_2_0"/>
      <w:bookmarkStart w:id="91" w:name="Tc_ml3BBlcn-U6knJzE81r_RA_1_0"/>
      <w:bookmarkStart w:id="92" w:name="_77a0dd49_71ed_4d7c_8d6b_b9701e5c5d80"/>
      <w:bookmarkEnd w:id="89"/>
      <w:bookmarkEnd w:id="90"/>
      <w:bookmarkEnd w:id="91"/>
      <w:bookmarkEnd w:id="92"/>
    </w:p>
    <w:tbl>
      <w:tblPr>
        <w:tblW w:w="4986" w:type="dxa"/>
        <w:jc w:val="left"/>
        <w:tblInd w:w="0" w:type="dxa"/>
        <w:tblLayout w:type="fixed"/>
        <w:tblCellMar>
          <w:top w:w="0" w:type="dxa"/>
          <w:left w:w="0" w:type="dxa"/>
          <w:bottom w:w="0" w:type="dxa"/>
          <w:right w:w="0" w:type="dxa"/>
        </w:tblCellMar>
      </w:tblPr>
      <w:tblGrid>
        <w:gridCol w:w="4486"/>
        <w:gridCol w:w="346"/>
        <w:gridCol w:w="154"/>
      </w:tblGrid>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tc>
        <w:tc>
          <w:tcPr>
            <w:tcW w:w="346" w:type="dxa"/>
            <w:tcBorders/>
            <w:vAlign w:val="center"/>
          </w:tcPr>
          <w:p>
            <w:pPr>
              <w:pStyle w:val="TableContents"/>
              <w:bidi w:val="0"/>
              <w:spacing w:before="0" w:after="0"/>
              <w:ind w:left="0" w:right="0" w:hanging="0"/>
              <w:jc w:val="left"/>
              <w:rPr/>
            </w:pPr>
            <w:r>
              <w:rPr/>
              <w:t>  ​ ​ ​</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2023.</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 Angeles, California</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21, 2026</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3" w:name="ReportofIndependent_537929"/>
      <w:bookmarkStart w:id="94" w:name="_797d66f3_a692_4a1f_8b26_bf00af634ec9"/>
      <w:bookmarkEnd w:id="93"/>
      <w:bookmarkEnd w:id="94"/>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Board of Directors and Shareholders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OSI Systems, Inc.</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audited the internal control over financial reporting of OSI Systems, Inc. (a Delaware corporation) and subsidiaries (the “Company”) as of June 30, 2026,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June 30, 2026,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COSO.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financial statements of the Company as of and for the year ended June 30, 2026, and our report dated August 21, 2026, expressed an unqualified opinion on those financial statements.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 of, and opinion on, the Company’s internal control over financial reporting does not include the internal control over financial reporting of a recently acquired wholly-owned subsidiary, whose financial statements reflect total assets and net revenues constituting 1.5% and less than 0.1%, respectively, of the related consolidated financial statement amounts as of and for the year ended June 30, 2026. As indicated in Management’s Report, the acquisition occurred during 2026. Management’s assertion of the effectiveness of the Company’s internal control over financial reporting excluded internal control over financial reporting of this entity.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center"/>
        <w:rPr/>
      </w:pPr>
      <w:r>
        <w:rPr/>
        <w:t>​</w:t>
      </w:r>
    </w:p>
    <w:tbl>
      <w:tblPr>
        <w:tblW w:w="3006" w:type="dxa"/>
        <w:jc w:val="left"/>
        <w:tblInd w:w="0" w:type="dxa"/>
        <w:tblLayout w:type="fixed"/>
        <w:tblCellMar>
          <w:top w:w="0" w:type="dxa"/>
          <w:left w:w="0" w:type="dxa"/>
          <w:bottom w:w="0" w:type="dxa"/>
          <w:right w:w="0" w:type="dxa"/>
        </w:tblCellMar>
      </w:tblPr>
      <w:tblGrid>
        <w:gridCol w:w="2506"/>
        <w:gridCol w:w="346"/>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91310" cy="175260"/>
                      <wp:effectExtent l="0" t="0" r="0" b="0"/>
                      <wp:wrapNone/>
                      <wp:docPr id="151" name="Frame14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7790" cy="175260"/>
                      <wp:effectExtent l="0" t="0" r="0" b="0"/>
                      <wp:wrapNone/>
                      <wp:docPr id="152" name="Frame15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tc>
        <w:tc>
          <w:tcPr>
            <w:tcW w:w="346" w:type="dxa"/>
            <w:tcBorders/>
            <w:vAlign w:val="center"/>
          </w:tcPr>
          <w:p>
            <w:pPr>
              <w:pStyle w:val="TableContents"/>
              <w:bidi w:val="0"/>
              <w:spacing w:before="0" w:after="0"/>
              <w:ind w:left="0" w:right="0" w:hanging="0"/>
              <w:jc w:val="left"/>
              <w:rPr/>
            </w:pPr>
            <w:r>
              <w:rPr/>
              <w:t>  ​ ​ ​</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 Angeles, California</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21, 2026</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5" w:name="_32642f61_c73d_49c3_bc68_e3b8c137e2d9"/>
      <w:bookmarkEnd w:id="95"/>
      <w:r>
        <w:rPr>
          <w:rFonts w:ascii="Times New Roman;Times;serif" w:hAnsi="Times New Roman;Times;serif"/>
          <w:b/>
          <w:sz w:val="20"/>
        </w:rPr>
        <w:t>OSI SYSTEMS, INC. AND SUBSIDIARIES</w:t>
      </w:r>
    </w:p>
    <w:p>
      <w:pPr>
        <w:pStyle w:val="TextBody"/>
        <w:bidi w:val="0"/>
        <w:spacing w:before="0" w:after="0"/>
        <w:ind w:left="0" w:right="0" w:hanging="0"/>
        <w:jc w:val="center"/>
        <w:rPr>
          <w:rFonts w:ascii="Times New Roman;Times;serif" w:hAnsi="Times New Roman;Times;serif"/>
          <w:b/>
          <w:sz w:val="20"/>
        </w:rPr>
      </w:pPr>
      <w:bookmarkStart w:id="96" w:name="CONSOLIDATEDBALANCESHEETS_755180"/>
      <w:bookmarkStart w:id="97" w:name="BALANCESHEETS_229599"/>
      <w:bookmarkEnd w:id="96"/>
      <w:bookmarkEnd w:id="97"/>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amounts and par value)</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8" w:name="Tc_LRuuYjkvc0qefx98-w2wCw_36_5"/>
      <w:bookmarkStart w:id="99" w:name="Tc_a2daDKqFMkyva5mF1kz4gw_36_2"/>
      <w:bookmarkStart w:id="100" w:name="Tc_1MlmoZuiqkuXN_fGz6S-lQ_36_0"/>
      <w:bookmarkStart w:id="101" w:name="Tc_qv-F4rO_PUO7s0wa4peOKw_35_0"/>
      <w:bookmarkStart w:id="102" w:name="Tc_uYUj3bH4-0uIF66CCt6EKg_34_0"/>
      <w:bookmarkStart w:id="103" w:name="Tc_uLUrkWJiLkyYybqOOVFdVQ_33_0"/>
      <w:bookmarkStart w:id="104" w:name="Tc_-E2aXG2F0k2szzmbZdS-yQ_32_0"/>
      <w:bookmarkStart w:id="105" w:name="Tc_k9gTQjBnXU6TtcFZmykipQ_31_0"/>
      <w:bookmarkStart w:id="106" w:name="Tc_RPClRHB60kijpmVALhOAXQ_30_0"/>
      <w:bookmarkStart w:id="107" w:name="Tc_9GP6PfRjK0Gc8yU9f3OOLA_29_0"/>
      <w:bookmarkStart w:id="108" w:name="Tc_GiILqSRFBEuc-kpRcVIoTg_28_0"/>
      <w:bookmarkStart w:id="109" w:name="Tc_1yFlwRqdXkKU2Jo1xm1nng_27_0"/>
      <w:bookmarkStart w:id="110" w:name="Tc_XQ4xa2u6m0G4C_eEofaX_A_26_0"/>
      <w:bookmarkStart w:id="111" w:name="Tc_dS3-IL76w0aA-VEQBf2EdQ_25_0"/>
      <w:bookmarkStart w:id="112" w:name="Tc_mFeWtgfV4kq3fY6Du1-dSQ_24_0"/>
      <w:bookmarkStart w:id="113" w:name="Tc_GMBZWpcBRU-8Lt7i745_Fg_23_0"/>
      <w:bookmarkStart w:id="114" w:name="Tc_mOwJYxaGuEC76sqJu2fH0A_22_0"/>
      <w:bookmarkStart w:id="115" w:name="Tc_-_lWfgQy8USa1XlIg3veyA_21_0"/>
      <w:bookmarkStart w:id="116" w:name="Tc_ZGaSF-iGbkKyXYW4XGPyzQ_20_0"/>
      <w:bookmarkStart w:id="117" w:name="Tc_hiSMlKpZfEeI_yeIy5aWPA_19_0"/>
      <w:bookmarkStart w:id="118" w:name="Tc_fTF1aFiJjE6SVWKPqD3enA_18_0"/>
      <w:bookmarkStart w:id="119" w:name="Tc_znZQLCpNHk-GgR4e4E7Zkg_17_5"/>
      <w:bookmarkStart w:id="120" w:name="Tc_WoL8suUHdEaiZ4fNXfnXDA_17_2"/>
      <w:bookmarkStart w:id="121" w:name="Tc_nsIXWsFhEE6jR3NfTTaGRA_17_0"/>
      <w:bookmarkStart w:id="122" w:name="Tc_1ta1pNvuVk-CwlDLwaZXsQ_16_0"/>
      <w:bookmarkStart w:id="123" w:name="Tc_cXfz26M6Ck2g-SMrzn04sQ_15_0"/>
      <w:bookmarkStart w:id="124" w:name="Tc_hQJcgJZbgkyYqu1RGdUq6g_14_5"/>
      <w:bookmarkStart w:id="125" w:name="Tc_wtVFPQKkA0K9Ss3NwlmgVw_14_2"/>
      <w:bookmarkStart w:id="126" w:name="Tc_NtxT6APgzE2pigVEsfElag_14_0"/>
      <w:bookmarkStart w:id="127" w:name="Tc_PcwV7NE_qEuX2rhVuiLyYA_13_0"/>
      <w:bookmarkStart w:id="128" w:name="Tc_ZRmeEi1BD0uPJoBqOr90NA_12_0"/>
      <w:bookmarkStart w:id="129" w:name="Tc_iQ_lASuvTEKcnHgB_9vLKQ_11_0"/>
      <w:bookmarkStart w:id="130" w:name="Tc_1Pkwuw3nTEuH4jiqNYhjsw_10_0"/>
      <w:bookmarkStart w:id="131" w:name="Tc_XdeLaWH37UGt0t_Q8mAEjw_9_0"/>
      <w:bookmarkStart w:id="132" w:name="Tc_DG4PbWaec0eJZW7h49PgHw_8_0"/>
      <w:bookmarkStart w:id="133" w:name="Tc_t9Zx2NXyDkGNZd1ogp_m9A_7_0"/>
      <w:bookmarkStart w:id="134" w:name="Tc_Qk1icTRwlEKkLbgg1DqYrw_6_0"/>
      <w:bookmarkStart w:id="135" w:name="Tc_bW5mob84RkmeO3yAwSBEEg_5_5"/>
      <w:bookmarkStart w:id="136" w:name="Tc_V777feoU_E2dmzU1Y3OM7w_5_2"/>
      <w:bookmarkStart w:id="137" w:name="Tc_-1DW1Yviq0C11xA_5Z7WtA_5_0"/>
      <w:bookmarkStart w:id="138" w:name="Tc_XuzrF7nha0GnZ1KhX2zhUg_4_0"/>
      <w:bookmarkStart w:id="139" w:name="Tc_SzPh958so02OWMih4RZTJQ_3_0"/>
      <w:bookmarkStart w:id="140" w:name="Tc_WnQhdmGQW06weNpLu0FVfQ_2_5"/>
      <w:bookmarkStart w:id="141" w:name="Tc_7YZSlwvkRkqLvS6usEkNPQ_2_2"/>
      <w:bookmarkStart w:id="142" w:name="Tc_TWB4qBEeV0SXCtfY9_EMcg_1_2"/>
      <w:bookmarkStart w:id="143" w:name="_76d79cc8_5069_4600_84aa_c76cd7cf16ed"/>
      <w:bookmarkStart w:id="144" w:name="Tc_LRuuYjkvc0qefx98-w2wCw_36_5"/>
      <w:bookmarkStart w:id="145" w:name="Tc_a2daDKqFMkyva5mF1kz4gw_36_2"/>
      <w:bookmarkStart w:id="146" w:name="Tc_1MlmoZuiqkuXN_fGz6S-lQ_36_0"/>
      <w:bookmarkStart w:id="147" w:name="Tc_qv-F4rO_PUO7s0wa4peOKw_35_0"/>
      <w:bookmarkStart w:id="148" w:name="Tc_uYUj3bH4-0uIF66CCt6EKg_34_0"/>
      <w:bookmarkStart w:id="149" w:name="Tc_uLUrkWJiLkyYybqOOVFdVQ_33_0"/>
      <w:bookmarkStart w:id="150" w:name="Tc_-E2aXG2F0k2szzmbZdS-yQ_32_0"/>
      <w:bookmarkStart w:id="151" w:name="Tc_k9gTQjBnXU6TtcFZmykipQ_31_0"/>
      <w:bookmarkStart w:id="152" w:name="Tc_RPClRHB60kijpmVALhOAXQ_30_0"/>
      <w:bookmarkStart w:id="153" w:name="Tc_9GP6PfRjK0Gc8yU9f3OOLA_29_0"/>
      <w:bookmarkStart w:id="154" w:name="Tc_GiILqSRFBEuc-kpRcVIoTg_28_0"/>
      <w:bookmarkStart w:id="155" w:name="Tc_1yFlwRqdXkKU2Jo1xm1nng_27_0"/>
      <w:bookmarkStart w:id="156" w:name="Tc_XQ4xa2u6m0G4C_eEofaX_A_26_0"/>
      <w:bookmarkStart w:id="157" w:name="Tc_dS3-IL76w0aA-VEQBf2EdQ_25_0"/>
      <w:bookmarkStart w:id="158" w:name="Tc_mFeWtgfV4kq3fY6Du1-dSQ_24_0"/>
      <w:bookmarkStart w:id="159" w:name="Tc_GMBZWpcBRU-8Lt7i745_Fg_23_0"/>
      <w:bookmarkStart w:id="160" w:name="Tc_mOwJYxaGuEC76sqJu2fH0A_22_0"/>
      <w:bookmarkStart w:id="161" w:name="Tc_-_lWfgQy8USa1XlIg3veyA_21_0"/>
      <w:bookmarkStart w:id="162" w:name="Tc_ZGaSF-iGbkKyXYW4XGPyzQ_20_0"/>
      <w:bookmarkStart w:id="163" w:name="Tc_hiSMlKpZfEeI_yeIy5aWPA_19_0"/>
      <w:bookmarkStart w:id="164" w:name="Tc_fTF1aFiJjE6SVWKPqD3enA_18_0"/>
      <w:bookmarkStart w:id="165" w:name="Tc_znZQLCpNHk-GgR4e4E7Zkg_17_5"/>
      <w:bookmarkStart w:id="166" w:name="Tc_WoL8suUHdEaiZ4fNXfnXDA_17_2"/>
      <w:bookmarkStart w:id="167" w:name="Tc_nsIXWsFhEE6jR3NfTTaGRA_17_0"/>
      <w:bookmarkStart w:id="168" w:name="Tc_1ta1pNvuVk-CwlDLwaZXsQ_16_0"/>
      <w:bookmarkStart w:id="169" w:name="Tc_cXfz26M6Ck2g-SMrzn04sQ_15_0"/>
      <w:bookmarkStart w:id="170" w:name="Tc_hQJcgJZbgkyYqu1RGdUq6g_14_5"/>
      <w:bookmarkStart w:id="171" w:name="Tc_wtVFPQKkA0K9Ss3NwlmgVw_14_2"/>
      <w:bookmarkStart w:id="172" w:name="Tc_NtxT6APgzE2pigVEsfElag_14_0"/>
      <w:bookmarkStart w:id="173" w:name="Tc_PcwV7NE_qEuX2rhVuiLyYA_13_0"/>
      <w:bookmarkStart w:id="174" w:name="Tc_ZRmeEi1BD0uPJoBqOr90NA_12_0"/>
      <w:bookmarkStart w:id="175" w:name="Tc_iQ_lASuvTEKcnHgB_9vLKQ_11_0"/>
      <w:bookmarkStart w:id="176" w:name="Tc_1Pkwuw3nTEuH4jiqNYhjsw_10_0"/>
      <w:bookmarkStart w:id="177" w:name="Tc_XdeLaWH37UGt0t_Q8mAEjw_9_0"/>
      <w:bookmarkStart w:id="178" w:name="Tc_DG4PbWaec0eJZW7h49PgHw_8_0"/>
      <w:bookmarkStart w:id="179" w:name="Tc_t9Zx2NXyDkGNZd1ogp_m9A_7_0"/>
      <w:bookmarkStart w:id="180" w:name="Tc_Qk1icTRwlEKkLbgg1DqYrw_6_0"/>
      <w:bookmarkStart w:id="181" w:name="Tc_bW5mob84RkmeO3yAwSBEEg_5_5"/>
      <w:bookmarkStart w:id="182" w:name="Tc_V777feoU_E2dmzU1Y3OM7w_5_2"/>
      <w:bookmarkStart w:id="183" w:name="Tc_-1DW1Yviq0C11xA_5Z7WtA_5_0"/>
      <w:bookmarkStart w:id="184" w:name="Tc_XuzrF7nha0GnZ1KhX2zhUg_4_0"/>
      <w:bookmarkStart w:id="185" w:name="Tc_SzPh958so02OWMih4RZTJQ_3_0"/>
      <w:bookmarkStart w:id="186" w:name="Tc_WnQhdmGQW06weNpLu0FVfQ_2_5"/>
      <w:bookmarkStart w:id="187" w:name="Tc_7YZSlwvkRkqLvS6usEkNPQ_2_2"/>
      <w:bookmarkStart w:id="188" w:name="Tc_TWB4qBEeV0SXCtfY9_EMcg_1_2"/>
      <w:bookmarkStart w:id="189" w:name="_76d79cc8_5069_4600_84aa_c76cd7cf16ed"/>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523740" cy="175260"/>
                      <wp:effectExtent l="0" t="0" r="0" b="0"/>
                      <wp:wrapNone/>
                      <wp:docPr id="153" name="Frame151"/>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4"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5"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91185" cy="175260"/>
                      <wp:effectExtent l="0" t="0" r="0" b="0"/>
                      <wp:wrapNone/>
                      <wp:docPr id="156" name="Frame1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7"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58"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57860" cy="175260"/>
                      <wp:effectExtent l="0" t="0" r="0" b="0"/>
                      <wp:wrapNone/>
                      <wp:docPr id="159" name="Frame1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124"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359,832</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837,743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764,626</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415,562</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71,671</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1,422,861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1,611,691</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129,942</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406,677</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192,355</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161,787</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2,241,257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2,502,452</w:t>
            </w:r>
          </w:p>
        </w:tc>
      </w:tr>
      <w:tr>
        <w:trPr/>
        <w:tc>
          <w:tcPr>
            <w:tcW w:w="7124"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lines of credit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168,981</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related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51,819</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42,391</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91,036</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 and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154,377</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511,135</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998,518</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154,375</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1,290,173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1,669,491</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$0.001 par value— 10,000,000 shares authorized; no shares issued or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value—100,000,000 shares authorized; issued and outstanding, 16,794,399 and 15,918,066 shares at June 30, 2025 and 2026,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852,117</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(19,173)</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832,961</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2,241,257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2,502,452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0" w:name="_0ee9f4c9_99da_47df_bcac_262a5c4a83d2"/>
      <w:bookmarkEnd w:id="190"/>
      <w:r>
        <w:rPr>
          <w:rFonts w:ascii="Times New Roman;Times;serif" w:hAnsi="Times New Roman;Times;serif"/>
          <w:b/>
          <w:sz w:val="20"/>
        </w:rPr>
        <w:t>OSI SYSTEMS, INC. AND SUBSIDIARIES</w:t>
      </w:r>
    </w:p>
    <w:p>
      <w:pPr>
        <w:pStyle w:val="TextBody"/>
        <w:bidi w:val="0"/>
        <w:spacing w:before="0" w:after="0"/>
        <w:ind w:left="0" w:right="0" w:hanging="0"/>
        <w:jc w:val="center"/>
        <w:rPr>
          <w:rFonts w:ascii="Times New Roman;Times;serif" w:hAnsi="Times New Roman;Times;serif"/>
          <w:b/>
          <w:sz w:val="20"/>
        </w:rPr>
      </w:pPr>
      <w:bookmarkStart w:id="191" w:name="CONSOLIDATEDSTATEMENTSOFOPERATIONS_55780"/>
      <w:bookmarkStart w:id="192" w:name="STATEMENTSOFOPERATIONS_896402"/>
      <w:bookmarkEnd w:id="191"/>
      <w:bookmarkEnd w:id="19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93" w:name="Tc_A3rILbwUtk-CXVLgf468GA_27_0"/>
      <w:bookmarkStart w:id="194" w:name="Tc_m25HA7LlFU-cvRy1DoPrHQ_26_0"/>
      <w:bookmarkStart w:id="195" w:name="Tc_1ZC8kVdc-0eXy-0n7KcjLQ_25_0"/>
      <w:bookmarkStart w:id="196" w:name="Tc_e6kXW9rbh0iyLCehwwu-aQ_24_8"/>
      <w:bookmarkStart w:id="197" w:name="Tc_jLSBCd7y0U61jCCG7jB4OA_24_5"/>
      <w:bookmarkStart w:id="198" w:name="Tc_FXJF_X_xxk2_yiBqQDEeXw_24_2"/>
      <w:bookmarkStart w:id="199" w:name="Tc_0CjBX_8-GEGO_UKjx2xlHw_24_0"/>
      <w:bookmarkStart w:id="200" w:name="Tc_GpLoG6swREy01P3zFHSgrw_23_8"/>
      <w:bookmarkStart w:id="201" w:name="Tc__gBpIhkvv02YPunHBed7Eg_23_5"/>
      <w:bookmarkStart w:id="202" w:name="Tc_ROWTWcKxw0CFMVhjtf_gww_23_2"/>
      <w:bookmarkStart w:id="203" w:name="Tc_AOcH5IAYn06KlLwRk4_xFg_23_0"/>
      <w:bookmarkStart w:id="204" w:name="Tc_h91vNwZTlky0RNAgx9IMGQ_22_0"/>
      <w:bookmarkStart w:id="205" w:name="Tc_18qQUDL8lE2jNhtYUHNbEg_21_8"/>
      <w:bookmarkStart w:id="206" w:name="Tc_Dd-H1MB-AUCBkaGuxqZmCw_21_5"/>
      <w:bookmarkStart w:id="207" w:name="Tc_QvI6Ju7RMky9WtmuBAOf9A_21_2"/>
      <w:bookmarkStart w:id="208" w:name="Tc_s65G9fK6v0-BiWCyH97AxA_21_0"/>
      <w:bookmarkStart w:id="209" w:name="Tc_E_r-HxvMYkimOKl45LLCSQ_20_0"/>
      <w:bookmarkStart w:id="210" w:name="Tc_OyOSl93LHE2bT-PLOuu7Lg_19_0"/>
      <w:bookmarkStart w:id="211" w:name="Tc_sgWRBZ9jvUqVSybYFOHmgA_18_0"/>
      <w:bookmarkStart w:id="212" w:name="Tc_oeMrkJ7B6k-4X-CPxwFkkQ_17_0"/>
      <w:bookmarkStart w:id="213" w:name="Tc_wPqpC6KzVUygkZfNHUNkdg_16_0"/>
      <w:bookmarkStart w:id="214" w:name="Tc_b3k6-WEAJ0CRSIgGaZUvGA_15_0"/>
      <w:bookmarkStart w:id="215" w:name="Tc_AP-uma6nrUuLOcXDuT897Q_14_0"/>
      <w:bookmarkStart w:id="216" w:name="Tc_6R7ypp4lLk283NuVaLdNMg_13_0"/>
      <w:bookmarkStart w:id="217" w:name="Tc_l87oky5oDkuypIohhwQd0A_12_0"/>
      <w:bookmarkStart w:id="218" w:name="Tc_M2Wt2z3xUkmjm5-7mohkvw_11_0"/>
      <w:bookmarkStart w:id="219" w:name="Tc_La04U4xwE0eE5BnX6KsUHg_10_0"/>
      <w:bookmarkStart w:id="220" w:name="Tc_Tz-pPr37WUaQB3oTr10d6Q_9_0"/>
      <w:bookmarkStart w:id="221" w:name="Tc_a9RP8_LdrkmZ47FWNBFrvw_8_0"/>
      <w:bookmarkStart w:id="222" w:name="Tc_9l6Mn89-U0S8VSA7yGQN6Q_7_0"/>
      <w:bookmarkStart w:id="223" w:name="Tc_ehpP_1Nxr0K64-91DV8UFA_6_0"/>
      <w:bookmarkStart w:id="224" w:name="Tc_6cvyt1Ehb0yMSjdb_HeTGA_5_0"/>
      <w:bookmarkStart w:id="225" w:name="Tc_jZd3jC4_yEihMYRAEjtmXg_4_8"/>
      <w:bookmarkStart w:id="226" w:name="Tc_fXYy71vP4EaS_ITAVhJ7cQ_4_5"/>
      <w:bookmarkStart w:id="227" w:name="Tc_wRKMXKiCAk6jaOrjK3NMRQ_4_2"/>
      <w:bookmarkStart w:id="228" w:name="Tc_IQvS2_k8G06hhdyC3_rSPA_4_0"/>
      <w:bookmarkStart w:id="229" w:name="Tc_p60B3laX0UqkDKaXM86tUg_3_0"/>
      <w:bookmarkStart w:id="230" w:name="Tc_HkPRGqghLEKGypMylfoTaw_2_8"/>
      <w:bookmarkStart w:id="231" w:name="Tc_j2fpB4gadkCAW5R9TKr8tA_2_5"/>
      <w:bookmarkStart w:id="232" w:name="Tc_IeMYm9Kn6kywaJbOJisMhA_2_2"/>
      <w:bookmarkStart w:id="233" w:name="Tc_pQWJA0D4sE2y5cCE-DPOww_1_2"/>
      <w:bookmarkStart w:id="234" w:name="_2ca13b7f_3cfe_4108_99d9_c97ad349d8de"/>
      <w:bookmarkStart w:id="235" w:name="Tc_A3rILbwUtk-CXVLgf468GA_27_0"/>
      <w:bookmarkStart w:id="236" w:name="Tc_m25HA7LlFU-cvRy1DoPrHQ_26_0"/>
      <w:bookmarkStart w:id="237" w:name="Tc_1ZC8kVdc-0eXy-0n7KcjLQ_25_0"/>
      <w:bookmarkStart w:id="238" w:name="Tc_e6kXW9rbh0iyLCehwwu-aQ_24_8"/>
      <w:bookmarkStart w:id="239" w:name="Tc_jLSBCd7y0U61jCCG7jB4OA_24_5"/>
      <w:bookmarkStart w:id="240" w:name="Tc_FXJF_X_xxk2_yiBqQDEeXw_24_2"/>
      <w:bookmarkStart w:id="241" w:name="Tc_0CjBX_8-GEGO_UKjx2xlHw_24_0"/>
      <w:bookmarkStart w:id="242" w:name="Tc_GpLoG6swREy01P3zFHSgrw_23_8"/>
      <w:bookmarkStart w:id="243" w:name="Tc__gBpIhkvv02YPunHBed7Eg_23_5"/>
      <w:bookmarkStart w:id="244" w:name="Tc_ROWTWcKxw0CFMVhjtf_gww_23_2"/>
      <w:bookmarkStart w:id="245" w:name="Tc_AOcH5IAYn06KlLwRk4_xFg_23_0"/>
      <w:bookmarkStart w:id="246" w:name="Tc_h91vNwZTlky0RNAgx9IMGQ_22_0"/>
      <w:bookmarkStart w:id="247" w:name="Tc_18qQUDL8lE2jNhtYUHNbEg_21_8"/>
      <w:bookmarkStart w:id="248" w:name="Tc_Dd-H1MB-AUCBkaGuxqZmCw_21_5"/>
      <w:bookmarkStart w:id="249" w:name="Tc_QvI6Ju7RMky9WtmuBAOf9A_21_2"/>
      <w:bookmarkStart w:id="250" w:name="Tc_s65G9fK6v0-BiWCyH97AxA_21_0"/>
      <w:bookmarkStart w:id="251" w:name="Tc_E_r-HxvMYkimOKl45LLCSQ_20_0"/>
      <w:bookmarkStart w:id="252" w:name="Tc_OyOSl93LHE2bT-PLOuu7Lg_19_0"/>
      <w:bookmarkStart w:id="253" w:name="Tc_sgWRBZ9jvUqVSybYFOHmgA_18_0"/>
      <w:bookmarkStart w:id="254" w:name="Tc_oeMrkJ7B6k-4X-CPxwFkkQ_17_0"/>
      <w:bookmarkStart w:id="255" w:name="Tc_wPqpC6KzVUygkZfNHUNkdg_16_0"/>
      <w:bookmarkStart w:id="256" w:name="Tc_b3k6-WEAJ0CRSIgGaZUvGA_15_0"/>
      <w:bookmarkStart w:id="257" w:name="Tc_AP-uma6nrUuLOcXDuT897Q_14_0"/>
      <w:bookmarkStart w:id="258" w:name="Tc_6R7ypp4lLk283NuVaLdNMg_13_0"/>
      <w:bookmarkStart w:id="259" w:name="Tc_l87oky5oDkuypIohhwQd0A_12_0"/>
      <w:bookmarkStart w:id="260" w:name="Tc_M2Wt2z3xUkmjm5-7mohkvw_11_0"/>
      <w:bookmarkStart w:id="261" w:name="Tc_La04U4xwE0eE5BnX6KsUHg_10_0"/>
      <w:bookmarkStart w:id="262" w:name="Tc_Tz-pPr37WUaQB3oTr10d6Q_9_0"/>
      <w:bookmarkStart w:id="263" w:name="Tc_a9RP8_LdrkmZ47FWNBFrvw_8_0"/>
      <w:bookmarkStart w:id="264" w:name="Tc_9l6Mn89-U0S8VSA7yGQN6Q_7_0"/>
      <w:bookmarkStart w:id="265" w:name="Tc_ehpP_1Nxr0K64-91DV8UFA_6_0"/>
      <w:bookmarkStart w:id="266" w:name="Tc_6cvyt1Ehb0yMSjdb_HeTGA_5_0"/>
      <w:bookmarkStart w:id="267" w:name="Tc_jZd3jC4_yEihMYRAEjtmXg_4_8"/>
      <w:bookmarkStart w:id="268" w:name="Tc_fXYy71vP4EaS_ITAVhJ7cQ_4_5"/>
      <w:bookmarkStart w:id="269" w:name="Tc_wRKMXKiCAk6jaOrjK3NMRQ_4_2"/>
      <w:bookmarkStart w:id="270" w:name="Tc_IQvS2_k8G06hhdyC3_rSPA_4_0"/>
      <w:bookmarkStart w:id="271" w:name="Tc_p60B3laX0UqkDKaXM86tUg_3_0"/>
      <w:bookmarkStart w:id="272" w:name="Tc_HkPRGqghLEKGypMylfoTaw_2_8"/>
      <w:bookmarkStart w:id="273" w:name="Tc_j2fpB4gadkCAW5R9TKr8tA_2_5"/>
      <w:bookmarkStart w:id="274" w:name="Tc_IeMYm9Kn6kywaJbOJisMhA_2_2"/>
      <w:bookmarkStart w:id="275" w:name="Tc_pQWJA0D4sE2y5cCE-DPOww_1_2"/>
      <w:bookmarkStart w:id="276" w:name="_2ca13b7f_3cfe_4108_99d9_c97ad349d8de"/>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tbl>
      <w:tblPr>
        <w:tblW w:w="8155" w:type="dxa"/>
        <w:jc w:val="left"/>
        <w:tblInd w:w="0" w:type="dxa"/>
        <w:tblLayout w:type="fixed"/>
        <w:tblCellMar>
          <w:top w:w="0" w:type="dxa"/>
          <w:left w:w="0" w:type="dxa"/>
          <w:bottom w:w="0" w:type="dxa"/>
          <w:right w:w="0" w:type="dxa"/>
        </w:tblCellMar>
      </w:tblPr>
      <w:tblGrid>
        <w:gridCol w:w="3646"/>
        <w:gridCol w:w="346"/>
        <w:gridCol w:w="211"/>
        <w:gridCol w:w="931"/>
        <w:gridCol w:w="346"/>
        <w:gridCol w:w="211"/>
        <w:gridCol w:w="931"/>
        <w:gridCol w:w="346"/>
        <w:gridCol w:w="211"/>
        <w:gridCol w:w="97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315210" cy="175260"/>
                      <wp:effectExtent l="0" t="0" r="0" b="0"/>
                      <wp:wrapNone/>
                      <wp:docPr id="160" name="Frame158"/>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1"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2"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91185" cy="175260"/>
                      <wp:effectExtent l="0" t="0" r="0" b="0"/>
                      <wp:wrapNone/>
                      <wp:docPr id="163" name="Frame1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4"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5"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91185" cy="175260"/>
                      <wp:effectExtent l="0" t="0" r="0" b="0"/>
                      <wp:wrapNone/>
                      <wp:docPr id="166" name="Frame1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7"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8"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19760" cy="175260"/>
                      <wp:effectExtent l="0" t="0" r="0" b="0"/>
                      <wp:wrapNone/>
                      <wp:docPr id="169" name="Frame16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1,323,291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1,344,733</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441,251</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1,538,758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1,713,166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1,785,984</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822,346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908,997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944,797</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248,095</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1,008,300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1,125,984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1,192,892</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587,182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593,092</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278,390</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79,141</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restructuring and other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16,591</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374,122</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218,970</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(26,224)</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192,746</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(38,035)</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154,711</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 share calculation: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16,584</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17,280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7" w:name="_b33399bd_88e0_492c_8f61_2fff4c246b44"/>
      <w:bookmarkEnd w:id="277"/>
      <w:r>
        <w:rPr>
          <w:rFonts w:ascii="Times New Roman;Times;serif" w:hAnsi="Times New Roman;Times;serif"/>
          <w:b/>
          <w:sz w:val="20"/>
        </w:rPr>
        <w:t>OSI SYSTEMS, INC. AND SUBSIDIARIES</w:t>
      </w:r>
    </w:p>
    <w:p>
      <w:pPr>
        <w:pStyle w:val="TextBody"/>
        <w:bidi w:val="0"/>
        <w:spacing w:before="0" w:after="0"/>
        <w:ind w:left="0" w:right="0" w:hanging="0"/>
        <w:jc w:val="center"/>
        <w:rPr>
          <w:rFonts w:ascii="Times New Roman;Times;serif" w:hAnsi="Times New Roman;Times;serif"/>
          <w:b/>
          <w:sz w:val="20"/>
        </w:rPr>
      </w:pPr>
      <w:bookmarkStart w:id="278" w:name="CONSOLIDATEDSTATEMENTSOFCOMPREHENSIVEINC"/>
      <w:bookmarkStart w:id="279" w:name="COMPREHENSIVEINCOME_260573"/>
      <w:bookmarkEnd w:id="278"/>
      <w:bookmarkEnd w:id="279"/>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80" w:name="Tc_qBW0d4ZCd06Cc6BHe-kzMw_8_8"/>
      <w:bookmarkStart w:id="281" w:name="Tc_I4A9dCY2AUCc4G5eLn1wkA_8_5"/>
      <w:bookmarkStart w:id="282" w:name="Tc_EH1tX4UfJ06N_xbt074ygA_8_2"/>
      <w:bookmarkStart w:id="283" w:name="Tc_h6P9fQZN9kaBLrNUVuxyrA_8_0"/>
      <w:bookmarkStart w:id="284" w:name="Tc_2H_pyepdx0mNx4IPMGTh3Q_7_0"/>
      <w:bookmarkStart w:id="285" w:name="Tc_lsjC47uPqEmgnIzEbZRlrw_6_0"/>
      <w:bookmarkStart w:id="286" w:name="Tc_NLveMpduRk28quNL-Wvlyw_5_0"/>
      <w:bookmarkStart w:id="287" w:name="Tc_V4mgP26aQE6ojtfplwt_mQ_4_0"/>
      <w:bookmarkStart w:id="288" w:name="Tc_ZfC0w7aWuEO4CpsELnO1-A_3_8"/>
      <w:bookmarkStart w:id="289" w:name="Tc_mJdI_hNyg0SNT0V52109Cw_3_5"/>
      <w:bookmarkStart w:id="290" w:name="Tc_ZJr5JudFX0CPTtlm-0Y7Aw_3_2"/>
      <w:bookmarkStart w:id="291" w:name="Tc_4fKRNMT9hUm17C-RF7Q8eQ_3_0"/>
      <w:bookmarkStart w:id="292" w:name="Tc_mCHqgjV6Ok6O2tC1nvxlDw_2_8"/>
      <w:bookmarkStart w:id="293" w:name="Tc_axXwXt_39Ui50HKl8uX6Mw_2_5"/>
      <w:bookmarkStart w:id="294" w:name="Tc_sgDV2OrVp0GGUdXHx3UTfQ_2_2"/>
      <w:bookmarkStart w:id="295" w:name="Tc_Eie3GVskKU-8MlLeNrAN8A_1_2"/>
      <w:bookmarkStart w:id="296" w:name="_68e328ed_69c6_4943_98e5_84facd4b1698"/>
      <w:bookmarkStart w:id="297" w:name="Tc_qBW0d4ZCd06Cc6BHe-kzMw_8_8"/>
      <w:bookmarkStart w:id="298" w:name="Tc_I4A9dCY2AUCc4G5eLn1wkA_8_5"/>
      <w:bookmarkStart w:id="299" w:name="Tc_EH1tX4UfJ06N_xbt074ygA_8_2"/>
      <w:bookmarkStart w:id="300" w:name="Tc_h6P9fQZN9kaBLrNUVuxyrA_8_0"/>
      <w:bookmarkStart w:id="301" w:name="Tc_2H_pyepdx0mNx4IPMGTh3Q_7_0"/>
      <w:bookmarkStart w:id="302" w:name="Tc_lsjC47uPqEmgnIzEbZRlrw_6_0"/>
      <w:bookmarkStart w:id="303" w:name="Tc_NLveMpduRk28quNL-Wvlyw_5_0"/>
      <w:bookmarkStart w:id="304" w:name="Tc_V4mgP26aQE6ojtfplwt_mQ_4_0"/>
      <w:bookmarkStart w:id="305" w:name="Tc_ZfC0w7aWuEO4CpsELnO1-A_3_8"/>
      <w:bookmarkStart w:id="306" w:name="Tc_mJdI_hNyg0SNT0V52109Cw_3_5"/>
      <w:bookmarkStart w:id="307" w:name="Tc_ZJr5JudFX0CPTtlm-0Y7Aw_3_2"/>
      <w:bookmarkStart w:id="308" w:name="Tc_4fKRNMT9hUm17C-RF7Q8eQ_3_0"/>
      <w:bookmarkStart w:id="309" w:name="Tc_mCHqgjV6Ok6O2tC1nvxlDw_2_8"/>
      <w:bookmarkStart w:id="310" w:name="Tc_axXwXt_39Ui50HKl8uX6Mw_2_5"/>
      <w:bookmarkStart w:id="311" w:name="Tc_sgDV2OrVp0GGUdXHx3UTfQ_2_2"/>
      <w:bookmarkStart w:id="312" w:name="Tc_Eie3GVskKU-8MlLeNrAN8A_1_2"/>
      <w:bookmarkStart w:id="313" w:name="_68e328ed_69c6_4943_98e5_84facd4b1698"/>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tbl>
      <w:tblPr>
        <w:tblW w:w="8335" w:type="dxa"/>
        <w:jc w:val="left"/>
        <w:tblInd w:w="0" w:type="dxa"/>
        <w:tblLayout w:type="fixed"/>
        <w:tblCellMar>
          <w:top w:w="0" w:type="dxa"/>
          <w:left w:w="0" w:type="dxa"/>
          <w:bottom w:w="0" w:type="dxa"/>
          <w:right w:w="0" w:type="dxa"/>
        </w:tblCellMar>
      </w:tblPr>
      <w:tblGrid>
        <w:gridCol w:w="4216"/>
        <w:gridCol w:w="346"/>
        <w:gridCol w:w="211"/>
        <w:gridCol w:w="781"/>
        <w:gridCol w:w="346"/>
        <w:gridCol w:w="211"/>
        <w:gridCol w:w="781"/>
        <w:gridCol w:w="346"/>
        <w:gridCol w:w="211"/>
        <w:gridCol w:w="88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677160" cy="175260"/>
                      <wp:effectExtent l="0" t="0" r="0" b="0"/>
                      <wp:wrapNone/>
                      <wp:docPr id="170" name="Frame16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1"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2"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73" name="Frame1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4"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5"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6" name="Frame1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7"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78"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62610" cy="175260"/>
                      <wp:effectExtent l="0" t="0" r="0" b="0"/>
                      <wp:wrapNone/>
                      <wp:docPr id="179" name="Frame17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154,711</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156,466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4" w:name="_b649ee8d_50bb_4b8e_b6cd_4f07f64b9e83"/>
      <w:bookmarkEnd w:id="314"/>
      <w:r>
        <w:rPr>
          <w:rFonts w:ascii="Times New Roman;Times;serif" w:hAnsi="Times New Roman;Times;serif"/>
          <w:b/>
          <w:sz w:val="20"/>
        </w:rPr>
        <w:t>OSI SYSTEMS, INC. AND SUBSIDIARIES</w:t>
      </w:r>
    </w:p>
    <w:p>
      <w:pPr>
        <w:pStyle w:val="TextBody"/>
        <w:bidi w:val="0"/>
        <w:spacing w:before="0" w:after="0"/>
        <w:ind w:left="0" w:right="0" w:hanging="0"/>
        <w:jc w:val="center"/>
        <w:rPr>
          <w:rFonts w:ascii="Times New Roman;Times;serif" w:hAnsi="Times New Roman;Times;serif"/>
          <w:b/>
          <w:sz w:val="20"/>
        </w:rPr>
      </w:pPr>
      <w:bookmarkStart w:id="315" w:name="CONSOLIDATEDSTATEMENTSOFSTOCKHOLDERSEQUI"/>
      <w:bookmarkStart w:id="316" w:name="STOCKHOLDERSEQUITY_130339"/>
      <w:bookmarkEnd w:id="315"/>
      <w:bookmarkEnd w:id="316"/>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17" w:name="Tc_svvzJD2PkESIPU46MXxE6A_31_13"/>
      <w:bookmarkStart w:id="318" w:name="Tc_hykJZcBY4UWtx8rvu2oiXA_31_10"/>
      <w:bookmarkStart w:id="319" w:name="Tc_fUZvrIuIQ0moDriZFHuuug_31_7"/>
      <w:bookmarkStart w:id="320" w:name="Tc_03FzgpKS9ECpuggcvs73rQ_31_4"/>
      <w:bookmarkStart w:id="321" w:name="Tc_80U6R5zbDE-vFDV7pvj8dA_31_0"/>
      <w:bookmarkStart w:id="322" w:name="Tc_R7JcK1NCVUauFsxqnYJz7Q_30_8"/>
      <w:bookmarkStart w:id="323" w:name="Tc_75qHRg8D8EarGTH0NP56rQ_30_2"/>
      <w:bookmarkStart w:id="324" w:name="Tc_0bLBPBdrgEqIyAG_DUVlGg_30_0"/>
      <w:bookmarkStart w:id="325" w:name="Tc_l7cVocTtb0iwWdGkjPqfow_29_11"/>
      <w:bookmarkStart w:id="326" w:name="Tc_SA_gcYpF6kmr1TepwyzQ3Q_29_2"/>
      <w:bookmarkStart w:id="327" w:name="Tc_anVGxjSEP0m0MWYgIbRdRg_29_0"/>
      <w:bookmarkStart w:id="328" w:name="Tc_2RsANJIlT0mgUy6ttn-dgA_28_11"/>
      <w:bookmarkStart w:id="329" w:name="Tc_8a8HWQdNB0ej8UHzurHcRQ_28_8"/>
      <w:bookmarkStart w:id="330" w:name="Tc__hnT33t1GEm8i1GaVzw9kQ_28_0"/>
      <w:bookmarkStart w:id="331" w:name="Tc_yz3oVKo-7k-GTjLQIXjD-w_27_11"/>
      <w:bookmarkStart w:id="332" w:name="Tc_96w23dswtU6rj5tJ-pNksA_27_0"/>
      <w:bookmarkStart w:id="333" w:name="Tc_cbCUPKRqr0-AX_WL8cPsZw_26_11"/>
      <w:bookmarkStart w:id="334" w:name="Tc_6yrZRYoDJUqDdfe5mMGpEw_26_8"/>
      <w:bookmarkStart w:id="335" w:name="Tc_78Vzo4Cww0-Q8ORuRmYRnQ_26_2"/>
      <w:bookmarkStart w:id="336" w:name="Tc_EvUTjzm0qUuveefLVopC6w_26_0"/>
      <w:bookmarkStart w:id="337" w:name="Tc_jl7O-u2DMkmVmPnbwUpL0g_25_11"/>
      <w:bookmarkStart w:id="338" w:name="Tc_NKd3adbn4k-VBb70d9yLQA_25_8"/>
      <w:bookmarkStart w:id="339" w:name="Tc_TATG-QXUMEuP18z9yrPOqg_25_0"/>
      <w:bookmarkStart w:id="340" w:name="Tc_oELBOxzZ-Em4TGTJOAfPyA_24_11"/>
      <w:bookmarkStart w:id="341" w:name="Tc_DfhQaTAyTkm9NYSy4Dujog_24_8"/>
      <w:bookmarkStart w:id="342" w:name="Tc_pgPq3ZUG4kepCHZDEoy6mg_24_0"/>
      <w:bookmarkStart w:id="343" w:name="Tc_8-SBoIwFJ0CEy2kDMeUAQw_23_11"/>
      <w:bookmarkStart w:id="344" w:name="Tc_hHBA0U6sRUeVhMEMxVt3jA_23_8"/>
      <w:bookmarkStart w:id="345" w:name="Tc_J1ZFSKTEGE6cc8svoFe8tg_23_0"/>
      <w:bookmarkStart w:id="346" w:name="Tc_2kxCTVGtzkCrGudF65Qd1w_22_13"/>
      <w:bookmarkStart w:id="347" w:name="Tc__NgdDLGHHkCduXzRNjzUCg_22_10"/>
      <w:bookmarkStart w:id="348" w:name="Tc_MUOJwKSEcUay-NPO86OQcw_22_7"/>
      <w:bookmarkStart w:id="349" w:name="Tc_qxoDRNktAUuT-ohbzNlEVw_22_4"/>
      <w:bookmarkStart w:id="350" w:name="Tc_QOBdpjQn6kSZu8zjtkMX-g_22_0"/>
      <w:bookmarkStart w:id="351" w:name="Tc_i-AG0b-x1UKnBvbM_36Spw_21_8"/>
      <w:bookmarkStart w:id="352" w:name="Tc_PHR1b1jZFUqcIMl8mBmoPA_21_2"/>
      <w:bookmarkStart w:id="353" w:name="Tc_JEzuJNbnl0auX1r-YT4Tfw_21_0"/>
      <w:bookmarkStart w:id="354" w:name="Tc_2VMvFnl__E-KMIXRArZPRA_20_11"/>
      <w:bookmarkStart w:id="355" w:name="Tc__Ct-l8KODEG7_6RYjjklUA_20_2"/>
      <w:bookmarkStart w:id="356" w:name="Tc_mr3GOjzK0E2bXqhkJxGpqQ_20_0"/>
      <w:bookmarkStart w:id="357" w:name="Tc_Qbnn6O5QHkGJem8V-vyHmA_19_11"/>
      <w:bookmarkStart w:id="358" w:name="Tc_rdxtZJwlCEKmY3ltpYbQ6g_19_0"/>
      <w:bookmarkStart w:id="359" w:name="Tc_rolfVT3kn0WlfIKBb75BpQ_18_11"/>
      <w:bookmarkStart w:id="360" w:name="Tc_WxcBM1b93kK7hx5Aswsb2Q_18_0"/>
      <w:bookmarkStart w:id="361" w:name="Tc_Otdom7tRSUuve-55UMDyog_17_11"/>
      <w:bookmarkStart w:id="362" w:name="Tc_GikwLn1Hlk-mdeNvAWG8oA_17_8"/>
      <w:bookmarkStart w:id="363" w:name="Tc_e5kxOHEDckWZE5ijtMQDfg_17_2"/>
      <w:bookmarkStart w:id="364" w:name="Tc_9ueGFlN0kUCvGil3CsvRCw_17_0"/>
      <w:bookmarkStart w:id="365" w:name="Tc_yQ8s1OhpTkGf3bCdh-1d1g_16_11"/>
      <w:bookmarkStart w:id="366" w:name="Tc_1irTp68JgkmzywMtXoVDsA_16_8"/>
      <w:bookmarkStart w:id="367" w:name="Tc_67pXeeTzlEG0nPCgrNFKtw_16_0"/>
      <w:bookmarkStart w:id="368" w:name="Tc_LHKkJTyGcEeS_PN-RM1u_A_15_11"/>
      <w:bookmarkStart w:id="369" w:name="Tc_MfQfDblplkibuguNUBNfJQ_15_8"/>
      <w:bookmarkStart w:id="370" w:name="Tc_BBDLIvSQDkSJQG0GTv7Pew_15_0"/>
      <w:bookmarkStart w:id="371" w:name="Tc_82W8Le8L_0KA7LyOV8Y81A_14_11"/>
      <w:bookmarkStart w:id="372" w:name="Tc_MnoXaH4OnUqBFi1KrZeICg_14_8"/>
      <w:bookmarkStart w:id="373" w:name="Tc_1L7kmi734kySrPMLp5HFag_14_0"/>
      <w:bookmarkStart w:id="374" w:name="Tc_1SUrw_YCV0exgFOsSd94ww_13_13"/>
      <w:bookmarkStart w:id="375" w:name="Tc_dT-URBOA4EichDO_27-XlA_13_10"/>
      <w:bookmarkStart w:id="376" w:name="Tc_FaImhUI57UWpbhH3aHkwyQ_13_7"/>
      <w:bookmarkStart w:id="377" w:name="Tc_K9szNdAuE0iTzlfX79mebg_13_4"/>
      <w:bookmarkStart w:id="378" w:name="Tc_pEicZb37sE6jhD1gaq_ixg_13_0"/>
      <w:bookmarkStart w:id="379" w:name="Tc_q6LVBNrYL0yDzKwrGlyp6g_12_8"/>
      <w:bookmarkStart w:id="380" w:name="Tc_6_mvX-_BHUivHVETH86GfQ_12_2"/>
      <w:bookmarkStart w:id="381" w:name="Tc_KsddXUFFjkuMZuJzm6ikGg_12_0"/>
      <w:bookmarkStart w:id="382" w:name="Tc_YjuOfQiAI06D_VukQa7k4g_11_11"/>
      <w:bookmarkStart w:id="383" w:name="Tc_OcvoYAQEukCR2mSrwd6jmg_11_2"/>
      <w:bookmarkStart w:id="384" w:name="Tc_ypU0ydcFxkSpbUwgtpeL4w_11_0"/>
      <w:bookmarkStart w:id="385" w:name="Tc_4S70YQFDyk6Ph1Vwnjmntw_10_11"/>
      <w:bookmarkStart w:id="386" w:name="Tc_HdOfKKjHqEqqX9sSYNK7nQ_10_0"/>
      <w:bookmarkStart w:id="387" w:name="Tc_0ikeQz8aY0qP11eDM9YZ_Q_9_11"/>
      <w:bookmarkStart w:id="388" w:name="Tc_desRwDh2PkybCUkQx7CAsw_9_8"/>
      <w:bookmarkStart w:id="389" w:name="Tc_fuui9H7MP0KuRMzudKNcmA_9_2"/>
      <w:bookmarkStart w:id="390" w:name="Tc_Gxt6MdbtYEKFLbvT8GO7hg_9_0"/>
      <w:bookmarkStart w:id="391" w:name="Tc_WqfZ6PkoDUaICGl0OcsZ3A_8_11"/>
      <w:bookmarkStart w:id="392" w:name="Tc_4bZt0UR9FU6wOTFhDoThVA_8_8"/>
      <w:bookmarkStart w:id="393" w:name="Tc_oG3CtoNATkGRI86fxfTT3w_8_0"/>
      <w:bookmarkStart w:id="394" w:name="Tc_Oe4jdIgfoECwrLOtDUj0ew_7_11"/>
      <w:bookmarkStart w:id="395" w:name="Tc_KUznjIKp3UC21b1LqtY1Hw_7_8"/>
      <w:bookmarkStart w:id="396" w:name="Tc_Dvzmfyq36EWfIC2vK6BjWw_7_0"/>
      <w:bookmarkStart w:id="397" w:name="Tc_9IqQy8c9ykGSRpV-4Xc_zQ_6_11"/>
      <w:bookmarkStart w:id="398" w:name="Tc_2VnIeq8Amk6qdf8HML_IBQ_6_8"/>
      <w:bookmarkStart w:id="399" w:name="Tc_ln2stRjjF0KP1p5TgvusRw_6_0"/>
      <w:bookmarkStart w:id="400" w:name="Tc_rkvrdx5t70mOzG_KsgtPHg_5_13"/>
      <w:bookmarkStart w:id="401" w:name="Tc_J22XNXVGeEmsJW_vOIABBg_5_10"/>
      <w:bookmarkStart w:id="402" w:name="Tc_2mPT9FHoLkWbfmzYlTUm6w_5_7"/>
      <w:bookmarkStart w:id="403" w:name="Tc_eBscid5gGkO4sTsfoYviGQ_5_4"/>
      <w:bookmarkStart w:id="404" w:name="Tc_qS_tcwCF_kCdmPB5YPRpkg_5_0"/>
      <w:bookmarkStart w:id="405" w:name="Tc_wqGtioFsf0aSPqkNThk4bg_4_13"/>
      <w:bookmarkStart w:id="406" w:name="Tc_rj6Ola2zhkyqDpCSAQDKWg_4_10"/>
      <w:bookmarkStart w:id="407" w:name="Tc_SXq-xak4EEKwZ5KR5bU52g_4_7"/>
      <w:bookmarkStart w:id="408" w:name="Tc__QrQNcuDpEqu7fVomyUYug_4_4"/>
      <w:bookmarkStart w:id="409" w:name="Tc_n1jmDMlo60C742WMOV4zAw_4_2"/>
      <w:bookmarkStart w:id="410" w:name="Tc_RKQlItzgqkanMlLjM-5oVw_3_10"/>
      <w:bookmarkStart w:id="411" w:name="Tc_ajS0L-UATEuM40hx78SAJQ_3_7"/>
      <w:bookmarkStart w:id="412" w:name="Tc_7IXD-iIoOU-PmFVPNRqBXQ_3_2"/>
      <w:bookmarkStart w:id="413" w:name="Tc_UZ-vKUHZkk-3t_-cI2cVgA_2_10"/>
      <w:bookmarkStart w:id="414" w:name="Tc_toAC2-ivQkWYgCXaeFKHCA_2_2"/>
      <w:bookmarkStart w:id="415" w:name="Tc_9CiRhyynBUm0K4Lc7B-Yhw_1_10"/>
      <w:bookmarkStart w:id="416" w:name="_79f80902_491e_409a_979f_c504d7cd2fa9"/>
      <w:bookmarkStart w:id="417" w:name="Tc_svvzJD2PkESIPU46MXxE6A_31_13"/>
      <w:bookmarkStart w:id="418" w:name="Tc_hykJZcBY4UWtx8rvu2oiXA_31_10"/>
      <w:bookmarkStart w:id="419" w:name="Tc_fUZvrIuIQ0moDriZFHuuug_31_7"/>
      <w:bookmarkStart w:id="420" w:name="Tc_03FzgpKS9ECpuggcvs73rQ_31_4"/>
      <w:bookmarkStart w:id="421" w:name="Tc_80U6R5zbDE-vFDV7pvj8dA_31_0"/>
      <w:bookmarkStart w:id="422" w:name="Tc_R7JcK1NCVUauFsxqnYJz7Q_30_8"/>
      <w:bookmarkStart w:id="423" w:name="Tc_75qHRg8D8EarGTH0NP56rQ_30_2"/>
      <w:bookmarkStart w:id="424" w:name="Tc_0bLBPBdrgEqIyAG_DUVlGg_30_0"/>
      <w:bookmarkStart w:id="425" w:name="Tc_l7cVocTtb0iwWdGkjPqfow_29_11"/>
      <w:bookmarkStart w:id="426" w:name="Tc_SA_gcYpF6kmr1TepwyzQ3Q_29_2"/>
      <w:bookmarkStart w:id="427" w:name="Tc_anVGxjSEP0m0MWYgIbRdRg_29_0"/>
      <w:bookmarkStart w:id="428" w:name="Tc_2RsANJIlT0mgUy6ttn-dgA_28_11"/>
      <w:bookmarkStart w:id="429" w:name="Tc_8a8HWQdNB0ej8UHzurHcRQ_28_8"/>
      <w:bookmarkStart w:id="430" w:name="Tc__hnT33t1GEm8i1GaVzw9kQ_28_0"/>
      <w:bookmarkStart w:id="431" w:name="Tc_yz3oVKo-7k-GTjLQIXjD-w_27_11"/>
      <w:bookmarkStart w:id="432" w:name="Tc_96w23dswtU6rj5tJ-pNksA_27_0"/>
      <w:bookmarkStart w:id="433" w:name="Tc_cbCUPKRqr0-AX_WL8cPsZw_26_11"/>
      <w:bookmarkStart w:id="434" w:name="Tc_6yrZRYoDJUqDdfe5mMGpEw_26_8"/>
      <w:bookmarkStart w:id="435" w:name="Tc_78Vzo4Cww0-Q8ORuRmYRnQ_26_2"/>
      <w:bookmarkStart w:id="436" w:name="Tc_EvUTjzm0qUuveefLVopC6w_26_0"/>
      <w:bookmarkStart w:id="437" w:name="Tc_jl7O-u2DMkmVmPnbwUpL0g_25_11"/>
      <w:bookmarkStart w:id="438" w:name="Tc_NKd3adbn4k-VBb70d9yLQA_25_8"/>
      <w:bookmarkStart w:id="439" w:name="Tc_TATG-QXUMEuP18z9yrPOqg_25_0"/>
      <w:bookmarkStart w:id="440" w:name="Tc_oELBOxzZ-Em4TGTJOAfPyA_24_11"/>
      <w:bookmarkStart w:id="441" w:name="Tc_DfhQaTAyTkm9NYSy4Dujog_24_8"/>
      <w:bookmarkStart w:id="442" w:name="Tc_pgPq3ZUG4kepCHZDEoy6mg_24_0"/>
      <w:bookmarkStart w:id="443" w:name="Tc_8-SBoIwFJ0CEy2kDMeUAQw_23_11"/>
      <w:bookmarkStart w:id="444" w:name="Tc_hHBA0U6sRUeVhMEMxVt3jA_23_8"/>
      <w:bookmarkStart w:id="445" w:name="Tc_J1ZFSKTEGE6cc8svoFe8tg_23_0"/>
      <w:bookmarkStart w:id="446" w:name="Tc_2kxCTVGtzkCrGudF65Qd1w_22_13"/>
      <w:bookmarkStart w:id="447" w:name="Tc__NgdDLGHHkCduXzRNjzUCg_22_10"/>
      <w:bookmarkStart w:id="448" w:name="Tc_MUOJwKSEcUay-NPO86OQcw_22_7"/>
      <w:bookmarkStart w:id="449" w:name="Tc_qxoDRNktAUuT-ohbzNlEVw_22_4"/>
      <w:bookmarkStart w:id="450" w:name="Tc_QOBdpjQn6kSZu8zjtkMX-g_22_0"/>
      <w:bookmarkStart w:id="451" w:name="Tc_i-AG0b-x1UKnBvbM_36Spw_21_8"/>
      <w:bookmarkStart w:id="452" w:name="Tc_PHR1b1jZFUqcIMl8mBmoPA_21_2"/>
      <w:bookmarkStart w:id="453" w:name="Tc_JEzuJNbnl0auX1r-YT4Tfw_21_0"/>
      <w:bookmarkStart w:id="454" w:name="Tc_2VMvFnl__E-KMIXRArZPRA_20_11"/>
      <w:bookmarkStart w:id="455" w:name="Tc__Ct-l8KODEG7_6RYjjklUA_20_2"/>
      <w:bookmarkStart w:id="456" w:name="Tc_mr3GOjzK0E2bXqhkJxGpqQ_20_0"/>
      <w:bookmarkStart w:id="457" w:name="Tc_Qbnn6O5QHkGJem8V-vyHmA_19_11"/>
      <w:bookmarkStart w:id="458" w:name="Tc_rdxtZJwlCEKmY3ltpYbQ6g_19_0"/>
      <w:bookmarkStart w:id="459" w:name="Tc_rolfVT3kn0WlfIKBb75BpQ_18_11"/>
      <w:bookmarkStart w:id="460" w:name="Tc_WxcBM1b93kK7hx5Aswsb2Q_18_0"/>
      <w:bookmarkStart w:id="461" w:name="Tc_Otdom7tRSUuve-55UMDyog_17_11"/>
      <w:bookmarkStart w:id="462" w:name="Tc_GikwLn1Hlk-mdeNvAWG8oA_17_8"/>
      <w:bookmarkStart w:id="463" w:name="Tc_e5kxOHEDckWZE5ijtMQDfg_17_2"/>
      <w:bookmarkStart w:id="464" w:name="Tc_9ueGFlN0kUCvGil3CsvRCw_17_0"/>
      <w:bookmarkStart w:id="465" w:name="Tc_yQ8s1OhpTkGf3bCdh-1d1g_16_11"/>
      <w:bookmarkStart w:id="466" w:name="Tc_1irTp68JgkmzywMtXoVDsA_16_8"/>
      <w:bookmarkStart w:id="467" w:name="Tc_67pXeeTzlEG0nPCgrNFKtw_16_0"/>
      <w:bookmarkStart w:id="468" w:name="Tc_LHKkJTyGcEeS_PN-RM1u_A_15_11"/>
      <w:bookmarkStart w:id="469" w:name="Tc_MfQfDblplkibuguNUBNfJQ_15_8"/>
      <w:bookmarkStart w:id="470" w:name="Tc_BBDLIvSQDkSJQG0GTv7Pew_15_0"/>
      <w:bookmarkStart w:id="471" w:name="Tc_82W8Le8L_0KA7LyOV8Y81A_14_11"/>
      <w:bookmarkStart w:id="472" w:name="Tc_MnoXaH4OnUqBFi1KrZeICg_14_8"/>
      <w:bookmarkStart w:id="473" w:name="Tc_1L7kmi734kySrPMLp5HFag_14_0"/>
      <w:bookmarkStart w:id="474" w:name="Tc_1SUrw_YCV0exgFOsSd94ww_13_13"/>
      <w:bookmarkStart w:id="475" w:name="Tc_dT-URBOA4EichDO_27-XlA_13_10"/>
      <w:bookmarkStart w:id="476" w:name="Tc_FaImhUI57UWpbhH3aHkwyQ_13_7"/>
      <w:bookmarkStart w:id="477" w:name="Tc_K9szNdAuE0iTzlfX79mebg_13_4"/>
      <w:bookmarkStart w:id="478" w:name="Tc_pEicZb37sE6jhD1gaq_ixg_13_0"/>
      <w:bookmarkStart w:id="479" w:name="Tc_q6LVBNrYL0yDzKwrGlyp6g_12_8"/>
      <w:bookmarkStart w:id="480" w:name="Tc_6_mvX-_BHUivHVETH86GfQ_12_2"/>
      <w:bookmarkStart w:id="481" w:name="Tc_KsddXUFFjkuMZuJzm6ikGg_12_0"/>
      <w:bookmarkStart w:id="482" w:name="Tc_YjuOfQiAI06D_VukQa7k4g_11_11"/>
      <w:bookmarkStart w:id="483" w:name="Tc_OcvoYAQEukCR2mSrwd6jmg_11_2"/>
      <w:bookmarkStart w:id="484" w:name="Tc_ypU0ydcFxkSpbUwgtpeL4w_11_0"/>
      <w:bookmarkStart w:id="485" w:name="Tc_4S70YQFDyk6Ph1Vwnjmntw_10_11"/>
      <w:bookmarkStart w:id="486" w:name="Tc_HdOfKKjHqEqqX9sSYNK7nQ_10_0"/>
      <w:bookmarkStart w:id="487" w:name="Tc_0ikeQz8aY0qP11eDM9YZ_Q_9_11"/>
      <w:bookmarkStart w:id="488" w:name="Tc_desRwDh2PkybCUkQx7CAsw_9_8"/>
      <w:bookmarkStart w:id="489" w:name="Tc_fuui9H7MP0KuRMzudKNcmA_9_2"/>
      <w:bookmarkStart w:id="490" w:name="Tc_Gxt6MdbtYEKFLbvT8GO7hg_9_0"/>
      <w:bookmarkStart w:id="491" w:name="Tc_WqfZ6PkoDUaICGl0OcsZ3A_8_11"/>
      <w:bookmarkStart w:id="492" w:name="Tc_4bZt0UR9FU6wOTFhDoThVA_8_8"/>
      <w:bookmarkStart w:id="493" w:name="Tc_oG3CtoNATkGRI86fxfTT3w_8_0"/>
      <w:bookmarkStart w:id="494" w:name="Tc_Oe4jdIgfoECwrLOtDUj0ew_7_11"/>
      <w:bookmarkStart w:id="495" w:name="Tc_KUznjIKp3UC21b1LqtY1Hw_7_8"/>
      <w:bookmarkStart w:id="496" w:name="Tc_Dvzmfyq36EWfIC2vK6BjWw_7_0"/>
      <w:bookmarkStart w:id="497" w:name="Tc_9IqQy8c9ykGSRpV-4Xc_zQ_6_11"/>
      <w:bookmarkStart w:id="498" w:name="Tc_2VnIeq8Amk6qdf8HML_IBQ_6_8"/>
      <w:bookmarkStart w:id="499" w:name="Tc_ln2stRjjF0KP1p5TgvusRw_6_0"/>
      <w:bookmarkStart w:id="500" w:name="Tc_rkvrdx5t70mOzG_KsgtPHg_5_13"/>
      <w:bookmarkStart w:id="501" w:name="Tc_J22XNXVGeEmsJW_vOIABBg_5_10"/>
      <w:bookmarkStart w:id="502" w:name="Tc_2mPT9FHoLkWbfmzYlTUm6w_5_7"/>
      <w:bookmarkStart w:id="503" w:name="Tc_eBscid5gGkO4sTsfoYviGQ_5_4"/>
      <w:bookmarkStart w:id="504" w:name="Tc_qS_tcwCF_kCdmPB5YPRpkg_5_0"/>
      <w:bookmarkStart w:id="505" w:name="Tc_wqGtioFsf0aSPqkNThk4bg_4_13"/>
      <w:bookmarkStart w:id="506" w:name="Tc_rj6Ola2zhkyqDpCSAQDKWg_4_10"/>
      <w:bookmarkStart w:id="507" w:name="Tc_SXq-xak4EEKwZ5KR5bU52g_4_7"/>
      <w:bookmarkStart w:id="508" w:name="Tc__QrQNcuDpEqu7fVomyUYug_4_4"/>
      <w:bookmarkStart w:id="509" w:name="Tc_n1jmDMlo60C742WMOV4zAw_4_2"/>
      <w:bookmarkStart w:id="510" w:name="Tc_RKQlItzgqkanMlLjM-5oVw_3_10"/>
      <w:bookmarkStart w:id="511" w:name="Tc_ajS0L-UATEuM40hx78SAJQ_3_7"/>
      <w:bookmarkStart w:id="512" w:name="Tc_7IXD-iIoOU-PmFVPNRqBXQ_3_2"/>
      <w:bookmarkStart w:id="513" w:name="Tc_UZ-vKUHZkk-3t_-cI2cVgA_2_10"/>
      <w:bookmarkStart w:id="514" w:name="Tc_toAC2-ivQkWYgCXaeFKHCA_2_2"/>
      <w:bookmarkStart w:id="515" w:name="Tc_9CiRhyynBUm0K4Lc7B-Yhw_1_10"/>
      <w:bookmarkStart w:id="516" w:name="_79f80902_491e_409a_979f_c504d7cd2fa9"/>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tbl>
      <w:tblPr>
        <w:tblW w:w="10205" w:type="dxa"/>
        <w:jc w:val="left"/>
        <w:tblInd w:w="0" w:type="dxa"/>
        <w:tblLayout w:type="fixed"/>
        <w:tblCellMar>
          <w:top w:w="0" w:type="dxa"/>
          <w:left w:w="0" w:type="dxa"/>
          <w:bottom w:w="0" w:type="dxa"/>
          <w:right w:w="0" w:type="dxa"/>
        </w:tblCellMar>
      </w:tblPr>
      <w:tblGrid>
        <w:gridCol w:w="3033"/>
        <w:gridCol w:w="346"/>
        <w:gridCol w:w="1043"/>
        <w:gridCol w:w="346"/>
        <w:gridCol w:w="211"/>
        <w:gridCol w:w="764"/>
        <w:gridCol w:w="346"/>
        <w:gridCol w:w="211"/>
        <w:gridCol w:w="869"/>
        <w:gridCol w:w="346"/>
        <w:gridCol w:w="270"/>
        <w:gridCol w:w="946"/>
        <w:gridCol w:w="346"/>
        <w:gridCol w:w="211"/>
        <w:gridCol w:w="917"/>
      </w:tblGrid>
      <w:tr>
        <w:trPr/>
        <w:tc>
          <w:tcPr>
            <w:tcW w:w="3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925955" cy="175260"/>
                      <wp:effectExtent l="0" t="0" r="0" b="0"/>
                      <wp:wrapNone/>
                      <wp:docPr id="180" name="Frame178"/>
                      <a:graphic xmlns:a="http://schemas.openxmlformats.org/drawingml/2006/main">
                        <a:graphicData uri="http://schemas.microsoft.com/office/word/2010/wordprocessingShape">
                          <wps:wsp>
                            <wps:cNvSpPr txBox="1"/>
                            <wps:spPr>
                              <a:xfrm>
                                <a:off x="0" y="0"/>
                                <a:ext cx="192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1"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62305" cy="175260"/>
                      <wp:effectExtent l="0" t="0" r="0" b="0"/>
                      <wp:wrapNone/>
                      <wp:docPr id="182" name="Frame180"/>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3"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4"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85140" cy="175260"/>
                      <wp:effectExtent l="0" t="0" r="0" b="0"/>
                      <wp:wrapNone/>
                      <wp:docPr id="185" name="Frame183"/>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6"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7"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51815" cy="175260"/>
                      <wp:effectExtent l="0" t="0" r="0" b="0"/>
                      <wp:wrapNone/>
                      <wp:docPr id="188" name="Frame18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89"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1450" cy="175260"/>
                      <wp:effectExtent l="0" t="0" r="0" b="0"/>
                      <wp:wrapNone/>
                      <wp:docPr id="190" name="Frame18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00710" cy="175260"/>
                      <wp:effectExtent l="0" t="0" r="0" b="0"/>
                      <wp:wrapNone/>
                      <wp:docPr id="191" name="Frame18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2"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3"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82295" cy="175260"/>
                      <wp:effectExtent l="0" t="0" r="0" b="0"/>
                      <wp:wrapNone/>
                      <wp:docPr id="194" name="Frame192"/>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3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3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3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2023</w:t>
            </w:r>
          </w:p>
        </w:tc>
        <w:tc>
          <w:tcPr>
            <w:tcW w:w="346"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735,957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726,165</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RSUs</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employee stock purchase plan</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28,706</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related to net share settlement of equity awards</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(23,311)</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128,154</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128,154</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2024</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17,055,497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861,230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863,483</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RSUs</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employee stock purchase plan</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4,911</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31,959</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(51,524)</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(80,443)</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related to net share settlement of equity awards</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(17,089)</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(22,671)</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149,637</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149,637</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2025</w:t>
            </w:r>
          </w:p>
        </w:tc>
        <w:tc>
          <w:tcPr>
            <w:tcW w:w="346" w:type="dxa"/>
            <w:tcBorders/>
            <w:vAlign w:val="center"/>
          </w:tcPr>
          <w:p>
            <w:pPr>
              <w:pStyle w:val="TableContents"/>
              <w:bidi w:val="0"/>
              <w:spacing w:before="0" w:after="0"/>
              <w:ind w:left="0" w:right="0" w:hanging="0"/>
              <w:jc w:val="left"/>
              <w:rPr/>
            </w:pPr>
            <w:r>
              <w:rPr/>
              <w:t>​</w:t>
            </w:r>
          </w:p>
        </w:tc>
        <w:tc>
          <w:tcPr>
            <w:tcW w:w="10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16,794,399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942,254</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951,084</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RSUs</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26,433</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(1,111,825)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(244,848)</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(271,905)</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related to net share settlement of equity awards</w:t>
            </w:r>
          </w:p>
        </w:tc>
        <w:tc>
          <w:tcPr>
            <w:tcW w:w="34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(36,397)</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154,711</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154,711</w:t>
            </w:r>
          </w:p>
        </w:tc>
      </w:tr>
      <w:tr>
        <w:trPr/>
        <w:tc>
          <w:tcPr>
            <w:tcW w:w="30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r>
      <w:tr>
        <w:trPr/>
        <w:tc>
          <w:tcPr>
            <w:tcW w:w="30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15,918,066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852,117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832,961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r>
        <w:rPr>
          <w:rFonts w:ascii="Times New Roman;Times;serif" w:hAnsi="Times New Roman;Times;serif"/>
          <w:sz w:val="24"/>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7" w:name="_7553b0d6_1d40_4d6b_80ba_bb1befffa933"/>
      <w:bookmarkEnd w:id="517"/>
      <w:r>
        <w:rPr>
          <w:rFonts w:ascii="Times New Roman;Times;serif" w:hAnsi="Times New Roman;Times;serif"/>
          <w:b/>
          <w:sz w:val="20"/>
        </w:rPr>
        <w:t>OSI SYSTEMS, INC. AND SUBSIDIARIES</w:t>
      </w:r>
    </w:p>
    <w:p>
      <w:pPr>
        <w:pStyle w:val="TextBody"/>
        <w:bidi w:val="0"/>
        <w:spacing w:before="0" w:after="0"/>
        <w:ind w:left="0" w:right="0" w:hanging="0"/>
        <w:jc w:val="center"/>
        <w:rPr>
          <w:rFonts w:ascii="Times New Roman;Times;serif" w:hAnsi="Times New Roman;Times;serif"/>
          <w:b/>
          <w:sz w:val="20"/>
        </w:rPr>
      </w:pPr>
      <w:bookmarkStart w:id="518" w:name="CONSOLIDATEDSTATEMENTSOFCASHFLOWS_79656"/>
      <w:bookmarkStart w:id="519" w:name="CASHFLOWS_666547"/>
      <w:bookmarkEnd w:id="518"/>
      <w:bookmarkEnd w:id="519"/>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20" w:name="Tc_w8lKJ8Vj2ki66LOUFNUcMg_44_8"/>
      <w:bookmarkStart w:id="521" w:name="Tc_v7AZEhZ9wUa2Ho0tsgdRDA_44_5"/>
      <w:bookmarkStart w:id="522" w:name="Tc_tvEtj1axc0uiKiQf10WTqQ_44_2"/>
      <w:bookmarkStart w:id="523" w:name="Tc_Q3lAj6tYv0epelBomrgUZw_44_0"/>
      <w:bookmarkStart w:id="524" w:name="Tc_74P7ZYnafEGQbt-vSP6-Zg_43_8"/>
      <w:bookmarkStart w:id="525" w:name="Tc_v-iWg2rwgkuKN8BS9ivbKQ_43_5"/>
      <w:bookmarkStart w:id="526" w:name="Tc_O99C3JeqqU2emwOIbjVtGw_43_2"/>
      <w:bookmarkStart w:id="527" w:name="Tc_Q7mTj0gDl0mQxU2nlTqm2g_43_0"/>
      <w:bookmarkStart w:id="528" w:name="Tc_Q4JRSV8oYkS3yenOv3e4FA_42_0"/>
      <w:bookmarkStart w:id="529" w:name="Tc_VRgvoIvMAk-FUM9zHy0d-Q_41_8"/>
      <w:bookmarkStart w:id="530" w:name="Tc_S8tQSKjLiUSCITAbH7uLSg_41_5"/>
      <w:bookmarkStart w:id="531" w:name="Tc_4PJPb0i6hUu1b-dUBAxk5A_41_2"/>
      <w:bookmarkStart w:id="532" w:name="Tc_7CCrGrYhREG5ZOT5BEIFAQ_41_0"/>
      <w:bookmarkStart w:id="533" w:name="Tc_bO2aI887-0-gEj0tfNnUNw_40_0"/>
      <w:bookmarkStart w:id="534" w:name="Tc_epWxIjjKBEeKuKRpmchE9w_39_0"/>
      <w:bookmarkStart w:id="535" w:name="Tc_VNQ6ups5ckq4rPzT2e919g_38_0"/>
      <w:bookmarkStart w:id="536" w:name="Tc_SQrqww98NU2qjT9X88Misg_37_0"/>
      <w:bookmarkStart w:id="537" w:name="Tc_Rjjhrfj9qE25lat5dqIHmg_36_0"/>
      <w:bookmarkStart w:id="538" w:name="Tc_MCbNvveo2U2okFxZYcnaEg_35_3"/>
      <w:bookmarkStart w:id="539" w:name="Tc_4t14MJmjyk25IVI3oMja2g_35_0"/>
      <w:bookmarkStart w:id="540" w:name="Tc_eUI1bgu-FE-30lznIAXVJw_34_0"/>
      <w:bookmarkStart w:id="541" w:name="Tc_JT-F-_SCl0mrMhGS86kO-w_33_0"/>
      <w:bookmarkStart w:id="542" w:name="Tc_RhDFYwV95EOUp6QjoYz-Lg_32_0"/>
      <w:bookmarkStart w:id="543" w:name="Tc_PP6I_TMXXEqB0iXPhJgUmQ_31_0"/>
      <w:bookmarkStart w:id="544" w:name="Tc_YNEMJAjrv0WRQWWgi8PzuQ_30_0"/>
      <w:bookmarkStart w:id="545" w:name="Tc_A-en6Op980a8u_YAO6quqw_29_0"/>
      <w:bookmarkStart w:id="546" w:name="Tc_t9a9xrkLf0Ozv92h9hIrHA_28_0"/>
      <w:bookmarkStart w:id="547" w:name="Tc_joUNKsYFQEy84dt7XCM4Ug_27_0"/>
      <w:bookmarkStart w:id="548" w:name="Tc_ssMcyVTiT06tLJwpDAG4fg_26_0"/>
      <w:bookmarkStart w:id="549" w:name="Tc_V3rO0hS7qU2DSGpLwICIEw_25_0"/>
      <w:bookmarkStart w:id="550" w:name="Tc_RYlqAb5naEqAHIjW23_KXw_24_0"/>
      <w:bookmarkStart w:id="551" w:name="Tc_85VltZwriUuN0Su50ZRhRw_23_0"/>
      <w:bookmarkStart w:id="552" w:name="Tc_dDxrlYiPwkWTZS1eta5PZQ_22_0"/>
      <w:bookmarkStart w:id="553" w:name="Tc_OlUWyq7AFEuxulqQt-skbg_21_0"/>
      <w:bookmarkStart w:id="554" w:name="Tc_xRiGXm-rAEyyydUs_80NHw_20_0"/>
      <w:bookmarkStart w:id="555" w:name="Tc_e29NC9AsakS3lpYpCO7-tg_19_0"/>
      <w:bookmarkStart w:id="556" w:name="Tc_7b1aT50SnUCqtAicAoabrg_18_0"/>
      <w:bookmarkStart w:id="557" w:name="Tc_Xn0y8Ok_30qoK5xYslwqOQ_17_0"/>
      <w:bookmarkStart w:id="558" w:name="Tc_kB472e1j6ke0XD-f8CsbqA_16_0"/>
      <w:bookmarkStart w:id="559" w:name="Tc_hd8yRT9el0KOROVhRbJUXA_15_0"/>
      <w:bookmarkStart w:id="560" w:name="Tc_1uoQMvKe6EufD2EiQnJjRQ_14_0"/>
      <w:bookmarkStart w:id="561" w:name="Tc__5CvHk4L0kyH3Fw_pfIJcg_13_0"/>
      <w:bookmarkStart w:id="562" w:name="Tc_w3-KvMYtr0yZHFXEB3KjDA_12_0"/>
      <w:bookmarkStart w:id="563" w:name="Tc_hqHl1aypWEaTYv8oApWhAw_11_0"/>
      <w:bookmarkStart w:id="564" w:name="Tc_SVrw8edSjk6cgBNsXAdlyg_10_3"/>
      <w:bookmarkStart w:id="565" w:name="Tc_2AaWKSSSwEW33odBpFeUvA_10_0"/>
      <w:bookmarkStart w:id="566" w:name="Tc_0ppTTqMDwkGvVRtHFYlQRQ_9_0"/>
      <w:bookmarkStart w:id="567" w:name="Tc_WwqRkQyp1UWEWPoJnmdyTg_8_0"/>
      <w:bookmarkStart w:id="568" w:name="Tc_5LKNHUZApUG3Rabers_PLw_7_0"/>
      <w:bookmarkStart w:id="569" w:name="Tc_D0zi8hiDmUCgnAYePUuePA_6_0"/>
      <w:bookmarkStart w:id="570" w:name="Tc_WOo-bMQKskuIucqRFjslag_5_0"/>
      <w:bookmarkStart w:id="571" w:name="Tc__KS2O5JpX0iCnxvyat9KVA_4_8"/>
      <w:bookmarkStart w:id="572" w:name="Tc_le41ce8lWEe8RO00sKBA-g_4_5"/>
      <w:bookmarkStart w:id="573" w:name="Tc_R1Cxypgpm0uzPeDv6D-wIw_4_2"/>
      <w:bookmarkStart w:id="574" w:name="Tc_ewgLPIJ7X0a7bBFJiVieOA_4_0"/>
      <w:bookmarkStart w:id="575" w:name="Tc_Ao755nbnw0OtSRDug7Qlvw_3_0"/>
      <w:bookmarkStart w:id="576" w:name="Tc_QQs9f78EvU-YaG1Cqbmzkw_2_8"/>
      <w:bookmarkStart w:id="577" w:name="Tc_hwm92y8jqUGzfzYc5cSbRg_2_5"/>
      <w:bookmarkStart w:id="578" w:name="Tc_RRV3C4nu0EmBdujD39oSiQ_2_2"/>
      <w:bookmarkStart w:id="579" w:name="Tc_1u8lzmbUHkqh0bPMcAx65A_1_2"/>
      <w:bookmarkStart w:id="580" w:name="_a172e389_65d0_42e1_becc_513dd6e504f5"/>
      <w:bookmarkStart w:id="581" w:name="Tc_w8lKJ8Vj2ki66LOUFNUcMg_44_8"/>
      <w:bookmarkStart w:id="582" w:name="Tc_v7AZEhZ9wUa2Ho0tsgdRDA_44_5"/>
      <w:bookmarkStart w:id="583" w:name="Tc_tvEtj1axc0uiKiQf10WTqQ_44_2"/>
      <w:bookmarkStart w:id="584" w:name="Tc_Q3lAj6tYv0epelBomrgUZw_44_0"/>
      <w:bookmarkStart w:id="585" w:name="Tc_74P7ZYnafEGQbt-vSP6-Zg_43_8"/>
      <w:bookmarkStart w:id="586" w:name="Tc_v-iWg2rwgkuKN8BS9ivbKQ_43_5"/>
      <w:bookmarkStart w:id="587" w:name="Tc_O99C3JeqqU2emwOIbjVtGw_43_2"/>
      <w:bookmarkStart w:id="588" w:name="Tc_Q7mTj0gDl0mQxU2nlTqm2g_43_0"/>
      <w:bookmarkStart w:id="589" w:name="Tc_Q4JRSV8oYkS3yenOv3e4FA_42_0"/>
      <w:bookmarkStart w:id="590" w:name="Tc_VRgvoIvMAk-FUM9zHy0d-Q_41_8"/>
      <w:bookmarkStart w:id="591" w:name="Tc_S8tQSKjLiUSCITAbH7uLSg_41_5"/>
      <w:bookmarkStart w:id="592" w:name="Tc_4PJPb0i6hUu1b-dUBAxk5A_41_2"/>
      <w:bookmarkStart w:id="593" w:name="Tc_7CCrGrYhREG5ZOT5BEIFAQ_41_0"/>
      <w:bookmarkStart w:id="594" w:name="Tc_bO2aI887-0-gEj0tfNnUNw_40_0"/>
      <w:bookmarkStart w:id="595" w:name="Tc_epWxIjjKBEeKuKRpmchE9w_39_0"/>
      <w:bookmarkStart w:id="596" w:name="Tc_VNQ6ups5ckq4rPzT2e919g_38_0"/>
      <w:bookmarkStart w:id="597" w:name="Tc_SQrqww98NU2qjT9X88Misg_37_0"/>
      <w:bookmarkStart w:id="598" w:name="Tc_Rjjhrfj9qE25lat5dqIHmg_36_0"/>
      <w:bookmarkStart w:id="599" w:name="Tc_MCbNvveo2U2okFxZYcnaEg_35_3"/>
      <w:bookmarkStart w:id="600" w:name="Tc_4t14MJmjyk25IVI3oMja2g_35_0"/>
      <w:bookmarkStart w:id="601" w:name="Tc_eUI1bgu-FE-30lznIAXVJw_34_0"/>
      <w:bookmarkStart w:id="602" w:name="Tc_JT-F-_SCl0mrMhGS86kO-w_33_0"/>
      <w:bookmarkStart w:id="603" w:name="Tc_RhDFYwV95EOUp6QjoYz-Lg_32_0"/>
      <w:bookmarkStart w:id="604" w:name="Tc_PP6I_TMXXEqB0iXPhJgUmQ_31_0"/>
      <w:bookmarkStart w:id="605" w:name="Tc_YNEMJAjrv0WRQWWgi8PzuQ_30_0"/>
      <w:bookmarkStart w:id="606" w:name="Tc_A-en6Op980a8u_YAO6quqw_29_0"/>
      <w:bookmarkStart w:id="607" w:name="Tc_t9a9xrkLf0Ozv92h9hIrHA_28_0"/>
      <w:bookmarkStart w:id="608" w:name="Tc_joUNKsYFQEy84dt7XCM4Ug_27_0"/>
      <w:bookmarkStart w:id="609" w:name="Tc_ssMcyVTiT06tLJwpDAG4fg_26_0"/>
      <w:bookmarkStart w:id="610" w:name="Tc_V3rO0hS7qU2DSGpLwICIEw_25_0"/>
      <w:bookmarkStart w:id="611" w:name="Tc_RYlqAb5naEqAHIjW23_KXw_24_0"/>
      <w:bookmarkStart w:id="612" w:name="Tc_85VltZwriUuN0Su50ZRhRw_23_0"/>
      <w:bookmarkStart w:id="613" w:name="Tc_dDxrlYiPwkWTZS1eta5PZQ_22_0"/>
      <w:bookmarkStart w:id="614" w:name="Tc_OlUWyq7AFEuxulqQt-skbg_21_0"/>
      <w:bookmarkStart w:id="615" w:name="Tc_xRiGXm-rAEyyydUs_80NHw_20_0"/>
      <w:bookmarkStart w:id="616" w:name="Tc_e29NC9AsakS3lpYpCO7-tg_19_0"/>
      <w:bookmarkStart w:id="617" w:name="Tc_7b1aT50SnUCqtAicAoabrg_18_0"/>
      <w:bookmarkStart w:id="618" w:name="Tc_Xn0y8Ok_30qoK5xYslwqOQ_17_0"/>
      <w:bookmarkStart w:id="619" w:name="Tc_kB472e1j6ke0XD-f8CsbqA_16_0"/>
      <w:bookmarkStart w:id="620" w:name="Tc_hd8yRT9el0KOROVhRbJUXA_15_0"/>
      <w:bookmarkStart w:id="621" w:name="Tc_1uoQMvKe6EufD2EiQnJjRQ_14_0"/>
      <w:bookmarkStart w:id="622" w:name="Tc__5CvHk4L0kyH3Fw_pfIJcg_13_0"/>
      <w:bookmarkStart w:id="623" w:name="Tc_w3-KvMYtr0yZHFXEB3KjDA_12_0"/>
      <w:bookmarkStart w:id="624" w:name="Tc_hqHl1aypWEaTYv8oApWhAw_11_0"/>
      <w:bookmarkStart w:id="625" w:name="Tc_SVrw8edSjk6cgBNsXAdlyg_10_3"/>
      <w:bookmarkStart w:id="626" w:name="Tc_2AaWKSSSwEW33odBpFeUvA_10_0"/>
      <w:bookmarkStart w:id="627" w:name="Tc_0ppTTqMDwkGvVRtHFYlQRQ_9_0"/>
      <w:bookmarkStart w:id="628" w:name="Tc_WwqRkQyp1UWEWPoJnmdyTg_8_0"/>
      <w:bookmarkStart w:id="629" w:name="Tc_5LKNHUZApUG3Rabers_PLw_7_0"/>
      <w:bookmarkStart w:id="630" w:name="Tc_D0zi8hiDmUCgnAYePUuePA_6_0"/>
      <w:bookmarkStart w:id="631" w:name="Tc_WOo-bMQKskuIucqRFjslag_5_0"/>
      <w:bookmarkStart w:id="632" w:name="Tc__KS2O5JpX0iCnxvyat9KVA_4_8"/>
      <w:bookmarkStart w:id="633" w:name="Tc_le41ce8lWEe8RO00sKBA-g_4_5"/>
      <w:bookmarkStart w:id="634" w:name="Tc_R1Cxypgpm0uzPeDv6D-wIw_4_2"/>
      <w:bookmarkStart w:id="635" w:name="Tc_ewgLPIJ7X0a7bBFJiVieOA_4_0"/>
      <w:bookmarkStart w:id="636" w:name="Tc_Ao755nbnw0OtSRDug7Qlvw_3_0"/>
      <w:bookmarkStart w:id="637" w:name="Tc_QQs9f78EvU-YaG1Cqbmzkw_2_8"/>
      <w:bookmarkStart w:id="638" w:name="Tc_hwm92y8jqUGzfzYc5cSbRg_2_5"/>
      <w:bookmarkStart w:id="639" w:name="Tc_RRV3C4nu0EmBdujD39oSiQ_2_2"/>
      <w:bookmarkStart w:id="640" w:name="Tc_1u8lzmbUHkqh0bPMcAx65A_1_2"/>
      <w:bookmarkStart w:id="641" w:name="_a172e389_65d0_42e1_becc_513dd6e504f5"/>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tbl>
      <w:tblPr>
        <w:tblW w:w="10205" w:type="dxa"/>
        <w:jc w:val="left"/>
        <w:tblInd w:w="0" w:type="dxa"/>
        <w:tblLayout w:type="fixed"/>
        <w:tblCellMar>
          <w:top w:w="0" w:type="dxa"/>
          <w:left w:w="0" w:type="dxa"/>
          <w:bottom w:w="0" w:type="dxa"/>
          <w:right w:w="0" w:type="dxa"/>
        </w:tblCellMar>
      </w:tblPr>
      <w:tblGrid>
        <w:gridCol w:w="5871"/>
        <w:gridCol w:w="346"/>
        <w:gridCol w:w="211"/>
        <w:gridCol w:w="872"/>
        <w:gridCol w:w="346"/>
        <w:gridCol w:w="211"/>
        <w:gridCol w:w="872"/>
        <w:gridCol w:w="346"/>
        <w:gridCol w:w="211"/>
        <w:gridCol w:w="919"/>
      </w:tblGrid>
      <w:tr>
        <w:trPr/>
        <w:tc>
          <w:tcPr>
            <w:tcW w:w="5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728085" cy="175260"/>
                      <wp:effectExtent l="0" t="0" r="0" b="0"/>
                      <wp:wrapNone/>
                      <wp:docPr id="195" name="Frame193"/>
                      <a:graphic xmlns:a="http://schemas.openxmlformats.org/drawingml/2006/main">
                        <a:graphicData uri="http://schemas.microsoft.com/office/word/2010/wordprocessingShape">
                          <wps:wsp>
                            <wps:cNvSpPr txBox="1"/>
                            <wps:spPr>
                              <a:xfrm>
                                <a:off x="0" y="0"/>
                                <a:ext cx="372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6"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7"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53720" cy="175260"/>
                      <wp:effectExtent l="0" t="0" r="0" b="0"/>
                      <wp:wrapNone/>
                      <wp:docPr id="198" name="Frame196"/>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199"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0"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53720" cy="175260"/>
                      <wp:effectExtent l="0" t="0" r="0" b="0"/>
                      <wp:wrapNone/>
                      <wp:docPr id="201" name="Frame199"/>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2"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3"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83565" cy="175260"/>
                      <wp:effectExtent l="0" t="0" r="0" b="0"/>
                      <wp:wrapNone/>
                      <wp:docPr id="204" name="Frame202"/>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98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r>
      <w:tr>
        <w:trPr/>
        <w:tc>
          <w:tcPr>
            <w:tcW w:w="5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154,711</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(used in) operating activities, net of effects from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42,650</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26,433</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Provision for (recovery of) losses on accounts receivable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 and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3,211</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liabilities—net of business 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98,669</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(10,358)</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(17,952)</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(35,854)</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(25,802)</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11,572</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21,242</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275,904</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(30,570)</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6,491</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 of certificates of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(26,267)</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intangible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(17,980)</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(68,308)</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borrowings (repayments) on bank lines of credit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(178,000)</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340,679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663,039</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(136,831)</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 and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7,280</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(271,905)</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related to net share settlement of equity awards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(36,397)</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46,700</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253,427</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equivalents—beginning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106,405</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359,832</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58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20,504</w:t>
            </w:r>
          </w:p>
        </w:tc>
      </w:tr>
      <w:tr>
        <w:trPr/>
        <w:tc>
          <w:tcPr>
            <w:tcW w:w="58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paid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43,000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hanging="0"/>
        <w:jc w:val="left"/>
        <w:rPr>
          <w:rFonts w:ascii="Times New Roman;Times;serif" w:hAnsi="Times New Roman;Times;serif"/>
          <w:sz w:val="20"/>
        </w:rPr>
      </w:pPr>
      <w:bookmarkStart w:id="642" w:name="a1SUMMARYOFSIGNIFICANTACCOUNTINGPOLICIES"/>
      <w:bookmarkStart w:id="643" w:name="SUMMARYOFSIGNIFICANT_40117"/>
      <w:bookmarkEnd w:id="642"/>
      <w:bookmarkEnd w:id="643"/>
      <w:r>
        <w:rPr>
          <w:rFonts w:ascii="Times New Roman;Times;serif" w:hAnsi="Times New Roman;Times;serif"/>
          <w:b/>
          <w:i w:val="false"/>
          <w:caps w:val="false"/>
          <w:smallCaps w:val="false"/>
          <w:sz w:val="20"/>
        </w:rPr>
        <w:t>1.</w:t>
      </w:r>
      <w:r>
        <w:rPr>
          <w:rFonts w:ascii="Times New Roman;Times;serif" w:hAnsi="Times New Roman;Times;serif"/>
          <w:b/>
          <w:sz w:val="20"/>
        </w:rPr>
        <w:t>SUMMARY OF SIGNIFICANT</w:t>
      </w:r>
      <w:r>
        <w:rPr>
          <w:rFonts w:ascii="Times New Roman;Times;serif" w:hAnsi="Times New Roman;Times;serif"/>
          <w:sz w:val="20"/>
        </w:rPr>
        <w:t xml:space="preserve"> </w:t>
      </w:r>
      <w:r>
        <w:rPr>
          <w:rFonts w:ascii="Times New Roman;Times;serif" w:hAnsi="Times New Roman;Times;serif"/>
          <w:b/>
          <w:sz w:val="20"/>
        </w:rPr>
        <w:t>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Description of Business</w:t>
      </w:r>
      <w:r>
        <w:rPr>
          <w:rFonts w:ascii="Times New Roman;Times;serif" w:hAnsi="Times New Roman;Times;serif"/>
          <w:sz w:val="20"/>
        </w:rPr>
        <w:t>—OSI Systems, Inc., together with our subsidiaries, is a vertically integrated designer and manufacturer of specialized electronic systems and components for critical applications. We sell our products and provide related services in diversified markets, including homeland security, healthcare, defense and aerospace.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three reporting segments: (i) Security, providing security and inspection systems, radio frequency solutions and turnkey security screening solutions; (ii) Optoelectronics and Manufacturing, providing specialized electronic components and electronic manufacturing services for applications in the defense and aerospace markets, among others, and for our Security and Healthcare divisions and (iii) Healthcare, providing patient monitoring, cardiology and remote monitoring, and connected care systems and associated accessories.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our Security segment, we provide security screening products and related services globally. These products and services are used to inspect baggage, parcels, cargo, people, vehicles and other objects for weapons, explosives, drugs, radioactive and nuclear materials and other contraband, as well as radio frequency transmission equipment, such as high-power transmitters, amplifiers and power supplies for broadcast, communications, science and industry. In addition to these products, we also provide site design, installation, training and technical support services to our customers. We also provide turnkey security screening solutions, which can include the construction, staffing and long-term operation of security screening checkpoints for our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our Optoelectronics and Manufacturing segment, we design, manufacture and 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This division provides products and services to OEM customers and to our own Security and Healthcare divisions.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our Healthcare segment, we design, manufacture, market and service patient monitoring, cardiology and remote monitoring, and connected care systems and associated accessories globally. These products are used by care providers in critical care, emergency and perioperative areas within the hospital and provide information, through wired and wireless networks, to physicians and nurses who may be at the patient’s bedside, in another area of the hospital or even outside the hospital.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Consolidation</w:t>
      </w:r>
      <w:r>
        <w:rPr>
          <w:rFonts w:ascii="Times New Roman;Times;serif" w:hAnsi="Times New Roman;Times;serif"/>
          <w:sz w:val="20"/>
        </w:rPr>
        <w:t>—The consolidated financial statements include the accounts of OSI Systems, Inc. and our wholly-owned and majority-owned subsidiaries. All significant intercompany accounts and transactions have been eliminated in consolidation. Investments in joint ventures over which we have significant influence but do not have voting control are accounted for using the equity method. Investments over which we do not have significant influence or control are not material and are carried at cost as there is no readily determinable fair value for equity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sales, costs of sales and expenses during the reporting period. The most significant of these estimates and assumptions for our company relate to contract revenue, fair values of assets acquired and liabilities assumed in business combinations, values for inventories reported at lower of cost or net realizable value, stock-based compensation expense, income taxes, accrued warranty costs, contingent consideration, allowance for doubtful accounts, and the recoverability, useful lives and valuation of recorded amounts of long-lived assets, identifiable intangible assets and goodwill. Changes in estimates are reflected in the periods during which they become known. Due to the inherent uncertainty involved in making estimates, our actual amounts reported in future periods could differ materially from these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Cash and Cash Equivalents</w:t>
      </w:r>
      <w:r>
        <w:rPr>
          <w:rFonts w:ascii="Times New Roman;Times;serif" w:hAnsi="Times New Roman;Times;serif"/>
          <w:sz w:val="20"/>
        </w:rPr>
        <w:t>—We consider all highly liquid investments with maturities of three months or less as of the acquisition date to be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Accounts Receivable</w:t>
      </w:r>
      <w:r>
        <w:rPr>
          <w:rFonts w:ascii="Times New Roman;Times;serif" w:hAnsi="Times New Roman;Times;serif"/>
          <w:sz w:val="20"/>
        </w:rPr>
        <w:t>—We monitor collections and payments from our customers, and we maintain allowances for doubtful accounts for estimated losses resulting from the inability of our customers to make required payments. We determine the allowance based on known troubled accounts, historical experience, current economic trends that might impact the level of credit losses in the future and other available information. If the financial condition of our customers were to deteriorate, resulting in an impairment of their ability to make payments, additional allowances could be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Inventories</w:t>
      </w:r>
      <w:r>
        <w:rPr>
          <w:rFonts w:ascii="Times New Roman;Times;serif" w:hAnsi="Times New Roman;Times;serif"/>
          <w:sz w:val="20"/>
        </w:rPr>
        <w:t>— The majority of our inventories are valued using the average costing method with select subsidiaries using the standard costing method. All methods of valuing inventory used by the Company approximate the first-in, first-out basis for valuing inventory. Inventories are generally stated at the lower of cost (first-in, first-out) or net realizable value. We write down inventory for slow-moving and obsolete inventory based on historical usage, orders on hand, assessments of future demands, market conditions among other items. If these factors become less favorable than those projected, additional inventory write-downs may be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Property and Equipment</w:t>
      </w:r>
      <w:r>
        <w:rPr>
          <w:rFonts w:ascii="Times New Roman;Times;serif" w:hAnsi="Times New Roman;Times;serif"/>
          <w:sz w:val="20"/>
        </w:rPr>
        <w:t>—Property and equipment are stated at cost less accumulated depreciation and amortization. Depreciation and amortization are charged while assets are used in service and are computed using the straight-line method over the estimated useful lives of the assets taking into consideration any estimated salvage value. Amortization of leasehold improvements is calculated on the straight-line method over the shorter of the useful life of the asset or the lease term. Right-of-use assets from finance leases are included in property and equipment. Amortization of property and equipment under finance leases is included with depreciation expense. In the event that property and equipment are idle, as a result of excess capacity or the early termination, non-renewal or reduction in scope of a turnkey screening operation, such assets are assessed for impairment on a periodic basis or if any indicators of impairment exist.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Goodwill and Other Intangible Assets and Valuation of Long-Lived Assets</w:t>
      </w:r>
      <w:r>
        <w:rPr>
          <w:rFonts w:ascii="Times New Roman;Times;serif" w:hAnsi="Times New Roman;Times;serif"/>
          <w:sz w:val="20"/>
        </w:rPr>
        <w:t>—Goodwill represents the excess purchase price over the estimated fair value of the assets acquired and liabilities assumed in a business combination. Goodwill is allocated to our reporting units based on the nature of the product line of the acquired business. The carrying value of goodwill and indefinite life intangible assets are not amortized but are annually tested for impairment as of the end of the second quarter and more frequently if there is an indicator of impairment. We assess qualitative factors of each of our three reporting units to determine whether it is more likely than not that the fair value of a reporting unit is less than its carrying amount, including goodwill and intangible assets. The assessments conducted as of December 31, 2025 indicated that it is not more likely than not that the fair values of our three reporting units are less than their carrying amounts, including goodwill and intangible assets. There were no qualitative factors which would trigger impairment testing of goodwill and indefinite life intangible assets between measurement dates. Thus, we have determined that there is no goodwill or indefinite life intangible assets impairment for any of the three reporting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evaluate long-lived assets with finite lives for impairment whenever events or changes in circumstances indicate that the carrying amount of the asset may not be recoverable. Impairment is considered to exist if the total estimated future cash flows on an undiscounted basis are less than the carrying amount of the assets. If impairment does exist, we measure the impairment loss and record it based on the discounted estimate of future cash flows. In estimating future cash flows, we group assets at the lowest level for which there are identifiable cash flows that are largely independent of the cash flows from other asset groups. Our estimate of future cash flows is based upon, among other things, certain assumptions about expected future operating performance, growth rates and other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sz w:val="20"/>
        </w:rPr>
        <w:t>—Deferred income taxes are provided for temporary differences between the financial statement and income tax basis of our assets and liabilities, based on enacted tax rates. A valuation allowance is provided when it is more likely than not that some portion or all of the deferred income tax assets will not be realized. Income tax accounting standards prescribe a two-step process for the financial statement measurement and recognition of a tax position taken or expected to be taken in a tax return. The first step involves determination of whether it is more likely than not (greater than 50 percent likelihood) that a tax position will be sustained upon examination, based on the technical merits of the position. The second step requires that any tax position that meets the more likely than not recognition threshold be measured and recognized in the financial statements at the largest amount of benefit that is greater than 50 percent likely of being realized upon ultimate settlement. See Note 10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bookmarkStart w:id="644" w:name="Tc_8ZzONb96YkOYJeVLNwHCDQ_6_23"/>
      <w:bookmarkStart w:id="645" w:name="Tc_f1hHD3ZG40C54Op7shzGGg_6_20"/>
      <w:bookmarkStart w:id="646" w:name="Tc_jeErGzAlXEy7_eUd3KYrnw_6_18"/>
      <w:bookmarkStart w:id="647" w:name="Tc_Q15CasgO-U-q14APNXj_XA_6_17"/>
      <w:bookmarkStart w:id="648" w:name="Tc_ijxn1MALi0y2PDKDXIzJ8Q_6_15"/>
      <w:bookmarkStart w:id="649" w:name="Tc_qGwOigNtO0WKTGi_TBJSrg_6_14"/>
      <w:bookmarkStart w:id="650" w:name="Tc_Fb2IKYJ7hEeuhLHSNoaOHw_6_11"/>
      <w:bookmarkStart w:id="651" w:name="Tc_-DtPUyQV0ESynV6Fwol2Aw_6_8"/>
      <w:bookmarkStart w:id="652" w:name="Tc_QWb8cCqz20KHN1FAqefoSQ_6_6"/>
      <w:bookmarkStart w:id="653" w:name="Tc_4gmjXqErv0-wp8fSKGgnVQ_6_5"/>
      <w:bookmarkStart w:id="654" w:name="Tc_5b-2jFmIOkmuVbBHfWihug_6_3"/>
      <w:bookmarkStart w:id="655" w:name="Tc_CRSOCpYTj0Wkybl2JPYkVw_6_2"/>
      <w:bookmarkStart w:id="656" w:name="Tc_NgCjJDaOmU-wqSi-QImOOw_6_0"/>
      <w:bookmarkStart w:id="657" w:name="Tc_T8wUmOuiZUyWVEAbVTXpVg_5_23"/>
      <w:bookmarkStart w:id="658" w:name="Tc_HJ--D4pf4USkoQEIw98wAw_5_21"/>
      <w:bookmarkStart w:id="659" w:name="Tc_wghK-9cRaUqA_TBUFRsqKw_5_20"/>
      <w:bookmarkStart w:id="660" w:name="Tc_WJ4QmHUONUyabNZMR-T1ag_5_17"/>
      <w:bookmarkStart w:id="661" w:name="Tc_9UaMZuJBE0aZ7wes9x9pwQ_5_15"/>
      <w:bookmarkStart w:id="662" w:name="Tc_eV3jIZLlqkm6s2OhLtOWow_5_14"/>
      <w:bookmarkStart w:id="663" w:name="Tc_jVmwuTGqJEGW76o5mJVg0g_5_11"/>
      <w:bookmarkStart w:id="664" w:name="Tc_iALZxKacRkqxUyfAOaKTCw_5_9"/>
      <w:bookmarkStart w:id="665" w:name="Tc__ssm22dA1E2e1M-22WGs6A_5_8"/>
      <w:bookmarkStart w:id="666" w:name="Tc_E-v79SEDnUG0eiy7SZnfRA_5_5"/>
      <w:bookmarkStart w:id="667" w:name="Tc_LnKhgFJX4EGO5AFkVTynsQ_5_3"/>
      <w:bookmarkStart w:id="668" w:name="Tc_7ssfo-C1oEaRHW7Ihajn6A_5_2"/>
      <w:bookmarkStart w:id="669" w:name="Tc_z3BWCz9PVUSBV44F4iiTZg_5_0"/>
      <w:bookmarkStart w:id="670" w:name="Tc_Zt0s0FjMDUCqSHKIG6IlAA_4_23"/>
      <w:bookmarkStart w:id="671" w:name="Tc_bWQz-Tai4k6uoZD0yC0Ppw_4_21"/>
      <w:bookmarkStart w:id="672" w:name="Tc_N-4QWdv2tUqq6A7VZTbNZQ_4_20"/>
      <w:bookmarkStart w:id="673" w:name="Tc_QVnXGeh19Uupn6iC3OHOIQ_4_17"/>
      <w:bookmarkStart w:id="674" w:name="Tc_es_XcTSKN0CKTz8GKLM52w_4_15"/>
      <w:bookmarkStart w:id="675" w:name="Tc_2RRzx63GxUy7jYA_a2xi3w_4_14"/>
      <w:bookmarkStart w:id="676" w:name="Tc_U3JZrLNpDUmQng3D8yw0dQ_4_11"/>
      <w:bookmarkStart w:id="677" w:name="Tc_Tr3wD32LIUqEWo0-1AMBCA_4_9"/>
      <w:bookmarkStart w:id="678" w:name="Tc_7c3idt-JYkuePlt4hNvtIA_4_8"/>
      <w:bookmarkStart w:id="679" w:name="Tc_VKqUuaa0rUGMfIiizD_6CA_4_5"/>
      <w:bookmarkStart w:id="680" w:name="Tc_jWtzY0mwpUaFiiYBwl-kJw_4_3"/>
      <w:bookmarkStart w:id="681" w:name="Tc_OS6-7s4KlEee-2mpz1hyHw_4_2"/>
      <w:bookmarkStart w:id="682" w:name="Tc_QNA99fOKhUuQ6yOK9sBUKQ_4_0"/>
      <w:bookmarkStart w:id="683" w:name="Tc_QVR0FvHQk0WUoDXCr1dDeA_3_23"/>
      <w:bookmarkStart w:id="684" w:name="Tc_Xz33ddePGUSqsfcemBJTRg_3_21"/>
      <w:bookmarkStart w:id="685" w:name="Tc_mLRFRBxAGUO1_KvMJNlOvQ_3_20"/>
      <w:bookmarkStart w:id="686" w:name="Tc_BKrlg6NKjkG74W-wx-k4fA_3_17"/>
      <w:bookmarkStart w:id="687" w:name="Tc_Xc_gKOdeRka7yMcXhAoqFg_3_15"/>
      <w:bookmarkStart w:id="688" w:name="Tc_YgOnk6-64EelPLlRrtzAIg_3_14"/>
      <w:bookmarkStart w:id="689" w:name="Tc_qsIa2LfM7UqMt1foug9bgA_3_11"/>
      <w:bookmarkStart w:id="690" w:name="Tc_OFbh2yR_nUa1QxwC585M2w_3_9"/>
      <w:bookmarkStart w:id="691" w:name="Tc_ITCMERsY_kKzGBIOsB72ZQ_3_8"/>
      <w:bookmarkStart w:id="692" w:name="Tc_v0AiqqguFUaOzRMkTuDDSA_3_5"/>
      <w:bookmarkStart w:id="693" w:name="Tc_8FN0P5BxekaLtmt788Q6Jg_3_3"/>
      <w:bookmarkStart w:id="694" w:name="Tc_V-PTuXtA3EaLXK1RxrIZBw_3_2"/>
      <w:bookmarkStart w:id="695" w:name="Tc_FeIlBE_FcUaLGYw8kBkoMA_3_0"/>
      <w:bookmarkStart w:id="696" w:name="Tc_4zg1NyRynUGivbqS8os35g_2_23"/>
      <w:bookmarkStart w:id="697" w:name="Tc_RT_dkHWiE0Cb0ojzFUT0Tw_2_20"/>
      <w:bookmarkStart w:id="698" w:name="Tc_dBwfTUOM5UK96CPlGOzL6A_2_17"/>
      <w:bookmarkStart w:id="699" w:name="Tc_93v-IwBxP0CoxbcgaaFQ3g_2_14"/>
      <w:bookmarkStart w:id="700" w:name="Tc_NJMwNH6Ou06Gwe8RO-zfYQ_2_11"/>
      <w:bookmarkStart w:id="701" w:name="Tc_kGmy0hYRjEyukY1mJajZIQ_2_8"/>
      <w:bookmarkStart w:id="702" w:name="Tc_oTp1j-Cmi0yahfEee8xyRg_2_5"/>
      <w:bookmarkStart w:id="703" w:name="Tc_mkIWbh2gdkSz3DcpHNR8uA_2_2"/>
      <w:bookmarkStart w:id="704" w:name="Tc_E21A-zjEgE2phywIEt3HhA_1_14"/>
      <w:bookmarkStart w:id="705" w:name="Tc_5AFgtb76vEChSBdSWNBKPg_1_2"/>
      <w:bookmarkStart w:id="706" w:name="_27168346_1b0b_43b9_816e_5c5f8a912ba6"/>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Pr>
          <w:rFonts w:ascii="Times New Roman;Times;serif" w:hAnsi="Times New Roman;Times;serif"/>
          <w:b/>
          <w:i/>
          <w:sz w:val="20"/>
        </w:rPr>
        <w:t>Fair Value of Financial Instruments</w:t>
      </w:r>
      <w:r>
        <w:rPr>
          <w:rFonts w:ascii="Times New Roman;Times;serif" w:hAnsi="Times New Roman;Times;serif"/>
          <w:sz w:val="20"/>
        </w:rPr>
        <w:t>—Our financial instruments consist primarily of cash and cash equivalents, insurance company contracts, accounts receivable, accounts payable, debt instruments, an interest rate swap contract and foreign currency forward contracts. The carrying values of financial instruments, other than long-term debt instruments and our interest rate swap contract, are representative of their fair values due to their short-term maturities. The carrying values of our term loan and lease obligations are considered to approximate their fair values because the interest rates of these instruments are variable or comparable to current rates for financing available to us. The fair values of our foreign currency forward contracts were not significant as of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Fair value is the price that would be received in the sale of an asset or paid to transfer a liability in an orderly transaction between market participants at the measurement date. The “Level 1” category comprises assets and liabilities measured at quoted prices in active markets for identical assets and liabilities. The “Level 2” category comprises assets and liabilities measured from observable inputs other than quoted market prices. The “Level 3” category comprises assets and liabilities for which valuation inputs are unobservable and significant to the fair value measurement. Our contingent payment obligations related to acquisitions, which are further discussed in Note 11 to the consolidated financial statements, are in the “Level 3” category for valuation purposes.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values of our financial assets and liabilities as of June 30, 2025 and 2026 are categorized as follows (in thousands):</w:t>
      </w:r>
    </w:p>
    <w:p>
      <w:pPr>
        <w:pStyle w:val="TextBody"/>
        <w:bidi w:val="0"/>
        <w:spacing w:before="0" w:after="0"/>
        <w:ind w:left="0" w:right="0" w:hanging="0"/>
        <w:jc w:val="both"/>
        <w:rPr/>
      </w:pPr>
      <w:r>
        <w:rPr/>
        <w:t>​</w:t>
      </w:r>
    </w:p>
    <w:tbl>
      <w:tblPr>
        <w:tblW w:w="11348" w:type="dxa"/>
        <w:jc w:val="left"/>
        <w:tblInd w:w="0" w:type="dxa"/>
        <w:tblLayout w:type="fixed"/>
        <w:tblCellMar>
          <w:top w:w="0" w:type="dxa"/>
          <w:left w:w="0" w:type="dxa"/>
          <w:bottom w:w="0" w:type="dxa"/>
          <w:right w:w="0" w:type="dxa"/>
        </w:tblCellMar>
      </w:tblPr>
      <w:tblGrid>
        <w:gridCol w:w="1231"/>
        <w:gridCol w:w="346"/>
        <w:gridCol w:w="239"/>
        <w:gridCol w:w="392"/>
        <w:gridCol w:w="346"/>
        <w:gridCol w:w="211"/>
        <w:gridCol w:w="781"/>
        <w:gridCol w:w="346"/>
        <w:gridCol w:w="211"/>
        <w:gridCol w:w="676"/>
        <w:gridCol w:w="346"/>
        <w:gridCol w:w="211"/>
        <w:gridCol w:w="781"/>
        <w:gridCol w:w="346"/>
        <w:gridCol w:w="239"/>
        <w:gridCol w:w="392"/>
        <w:gridCol w:w="346"/>
        <w:gridCol w:w="211"/>
        <w:gridCol w:w="931"/>
        <w:gridCol w:w="346"/>
        <w:gridCol w:w="211"/>
        <w:gridCol w:w="676"/>
        <w:gridCol w:w="346"/>
        <w:gridCol w:w="211"/>
        <w:gridCol w:w="97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81685" cy="175260"/>
                      <wp:effectExtent l="0" t="0" r="0" b="0"/>
                      <wp:wrapNone/>
                      <wp:docPr id="205" name="Frame203"/>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6"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1765" cy="175260"/>
                      <wp:effectExtent l="0" t="0" r="0" b="0"/>
                      <wp:wrapNone/>
                      <wp:docPr id="207" name="Frame20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48920" cy="175260"/>
                      <wp:effectExtent l="0" t="0" r="0" b="0"/>
                      <wp:wrapNone/>
                      <wp:docPr id="208" name="Frame20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9"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0"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95935" cy="175260"/>
                      <wp:effectExtent l="0" t="0" r="0" b="0"/>
                      <wp:wrapNone/>
                      <wp:docPr id="211" name="Frame2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2"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3"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4"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5"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6"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95935" cy="175260"/>
                      <wp:effectExtent l="0" t="0" r="0" b="0"/>
                      <wp:wrapNone/>
                      <wp:docPr id="217" name="Frame2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8"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1765" cy="175260"/>
                      <wp:effectExtent l="0" t="0" r="0" b="0"/>
                      <wp:wrapNone/>
                      <wp:docPr id="219" name="Frame21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8920" cy="175260"/>
                      <wp:effectExtent l="0" t="0" r="0" b="0"/>
                      <wp:wrapNone/>
                      <wp:docPr id="220" name="Frame21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1"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2"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91185" cy="175260"/>
                      <wp:effectExtent l="0" t="0" r="0" b="0"/>
                      <wp:wrapNone/>
                      <wp:docPr id="223" name="Frame2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4"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5"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9260" cy="175260"/>
                      <wp:effectExtent l="0" t="0" r="0" b="0"/>
                      <wp:wrapNone/>
                      <wp:docPr id="226" name="Frame2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7"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28"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19760" cy="175260"/>
                      <wp:effectExtent l="0" t="0" r="0" b="0"/>
                      <wp:wrapNone/>
                      <wp:docPr id="229" name="Frame22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4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  ​ ​ ​</w:t>
            </w:r>
          </w:p>
        </w:tc>
        <w:tc>
          <w:tcPr>
            <w:tcW w:w="488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Assets—Insurance company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54,437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65,678</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Assets—Interest rate swap contract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12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472,770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1,005,418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1,005,418</w:t>
            </w:r>
          </w:p>
        </w:tc>
      </w:tr>
      <w:tr>
        <w:trPr/>
        <w:tc>
          <w:tcPr>
            <w:tcW w:w="12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Liabilities—Contingent consideration</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19,086</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18,112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Derivative Instruments and Hedging Activity</w:t>
      </w:r>
      <w:r>
        <w:rPr>
          <w:rFonts w:ascii="Times New Roman;Times;serif" w:hAnsi="Times New Roman;Times;serif"/>
          <w:sz w:val="20"/>
        </w:rPr>
        <w:t>— Our use of derivatives consists of foreign currency forward contracts, a cross-currency interest rate swap contract and an interest rate swap agreement. Our foreign currency forward contracts are utilized to partially mitigate certain balance sheet exposures or used as a net investment hedge to protect against potential changes resulting from short-term foreign currency fluctuations. These contracts have original maturities of up to three months. We use a cross-currency interest rate swap contract to hedge our net investment in a foreign subsidiary. We also manage our risk to changes in interest rates using derivative instruments. We use fixed interest rate swaps to effectively convert a portion of the variable interest rate payments to fixed interest rate payments. We do not use hedging instruments for speculative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net gains or losses from our foreign currency forward contracts, which are not designated as hedge instruments, are reported in the consolidated statements of operations, and the amounts reported for the years ending June 30, 2024, 2025 and 2026 were not significant. The fair value of our foreign currency forward contracts is estimated using a standard valuation model and market-based observable inputs over the contractual term. Unrealized gains are recognized as assets and unrealized losses are recognized as liabilities. As of June 30, 2025 and 2026, we held foreign currency forward contracts with notional amounts totaling $99.9 million and $138.0 million, respectively. Unrealized gains and losses from our foreign currency forward contracts as of June 30, 2025 and 2026 were not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entered into a cross-currency interest rate swap contract in June 2026, which matures in June 2027. The net gains or losses from our cross-currency interest rate swap contract, which is designated as a net investment hedge instrument in a foreign subsidiary, are reported in accumulated other comprehensive loss in the consolidated statements of stockholders’ equity, and the amounts reported for the fiscal year ended June 30, 2026 was not significant. The fair value of our cross-currency interest rate swap contract is estimated using a standard valuation model and market-based observable inputs over the contractual term. Unrealized gains are recognized as assets and unrealized losses are recognized as liabilities. As of June 30, 2026, the notional amount of this contract was $35.0 million. The unrealized gain from our cross-currency interest rate swap contract as of June 30, 2026 was not significant. The net interest rate benefit from this contract recognized in interest and other expense, net was not significant for the fiscal year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707" w:name="Tc_t64Uii4aUkixxUDAw4v10g_5_0"/>
      <w:bookmarkStart w:id="708" w:name="Tc_3zWJ41klJUCoP6chYsVsGg_4_0"/>
      <w:bookmarkStart w:id="709" w:name="Tc_0Kp_vg8alUOjtTWKAAjs3w_3_5"/>
      <w:bookmarkStart w:id="710" w:name="Tc_m7596_rflUCQ_jUrzaxUAw_3_2"/>
      <w:bookmarkStart w:id="711" w:name="Tc_g7v77galSEmXUQ3o7xnnYQ_3_0"/>
      <w:bookmarkStart w:id="712" w:name="Tc_poa3q1DMF0CGmQPeESZkrQ_2_5"/>
      <w:bookmarkStart w:id="713" w:name="Tc_JKeEIAe0NkeCjWSngj1ZDA_2_2"/>
      <w:bookmarkStart w:id="714" w:name="Tc_wxaaKGGgnEu_00C3uTilJQ_1_2"/>
      <w:bookmarkEnd w:id="707"/>
      <w:bookmarkEnd w:id="708"/>
      <w:bookmarkEnd w:id="709"/>
      <w:bookmarkEnd w:id="710"/>
      <w:bookmarkEnd w:id="711"/>
      <w:bookmarkEnd w:id="712"/>
      <w:bookmarkEnd w:id="713"/>
      <w:bookmarkEnd w:id="714"/>
      <w:r>
        <w:rPr>
          <w:rFonts w:ascii="Times New Roman;Times;serif" w:hAnsi="Times New Roman;Times;serif"/>
          <w:sz w:val="20"/>
        </w:rPr>
        <w:t>The interest rate swap agreement was entered into to improve the predictability of cash flows from interest payments related to our variable, Secured Overnight Financing Rate (“SOFR”) based debt. The interest rate swap matures in December 2026. The interest rate swap is considered an effective cash flow hedge, and as a result, the net gains or losses on such instrument are reported as a component of other comprehensive income (loss) in our consolidated financial statements and are reclassified as net income when the underlying hedged interest impacts earnings. A qualitative and quantitative assessment of the interest rate swap hedge effectiveness is performed on a quarterly basis, unless facts and circumstances indicate that the hedge may no longer be highly effective. As of June 30, 2025 and June 30, 2026, the notional amount of the interest rate swap hedge derivative instrument was $175 million. The fair value of the interest rate swap contract as of June 30, 2025 and June 30, 2026 is recorded in Other assets within the consolidated balance sheet.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effect of the cash flow hedge on other comprehensive income (loss) and earnings for the periods presented was as follows: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7508"/>
        <w:gridCol w:w="346"/>
        <w:gridCol w:w="211"/>
        <w:gridCol w:w="768"/>
        <w:gridCol w:w="346"/>
        <w:gridCol w:w="211"/>
        <w:gridCol w:w="815"/>
      </w:tblGrid>
      <w:tr>
        <w:trPr/>
        <w:tc>
          <w:tcPr>
            <w:tcW w:w="7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767580" cy="175260"/>
                      <wp:effectExtent l="0" t="0" r="0" b="0"/>
                      <wp:wrapNone/>
                      <wp:docPr id="230" name="Frame228"/>
                      <a:graphic xmlns:a="http://schemas.openxmlformats.org/drawingml/2006/main">
                        <a:graphicData uri="http://schemas.microsoft.com/office/word/2010/wordprocessingShape">
                          <wps:wsp>
                            <wps:cNvSpPr txBox="1"/>
                            <wps:spPr>
                              <a:xfrm>
                                <a:off x="0" y="0"/>
                                <a:ext cx="4767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1"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2"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87680" cy="175260"/>
                      <wp:effectExtent l="0" t="0" r="0" b="0"/>
                      <wp:wrapNone/>
                      <wp:docPr id="233" name="Frame231"/>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4"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5"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17525" cy="175260"/>
                      <wp:effectExtent l="0" t="0" r="0" b="0"/>
                      <wp:wrapNone/>
                      <wp:docPr id="236" name="Frame234"/>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June 30,</w:t>
            </w:r>
          </w:p>
        </w:tc>
      </w:tr>
      <w:tr>
        <w:trPr/>
        <w:tc>
          <w:tcPr>
            <w:tcW w:w="75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5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and other expense, net presented in the condensed consolidated statements of operations in which the effects of cash flow hedges are recorded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(26,224)</w:t>
            </w:r>
          </w:p>
        </w:tc>
      </w:tr>
      <w:tr>
        <w:trPr/>
        <w:tc>
          <w:tcPr>
            <w:tcW w:w="75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Hedge loss recognized in 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75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Hedge benefit reclassified from accumulated other comprehensive income (loss) to 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1,115</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recognize revenue under Accounting Standards Codification Topic 606, Revenue from Contracts with Customers (“ASC 606”), which superseded all prior revenue recognition methods and industry-specific guidance. The core principle of ASC 606 is that an entity should recognize revenue to depict the transfer of control for promised goods or services to customers in an amount that reflects the consideration to which the entity expects to be entitled in exchange for those goods or services. In applying the revenue recognition principles, an entity is required to identify the contract(s) with a customer, identify the performance obligations, determine the transaction price, allocate the transaction price to the performance obligations and recognize revenue as the performance obligations are satisfied (i.e., either over time or at a point in time). ASC 606 further requires that companies disclose sufficient information to enable readers of financial statements to understand the nature, amount, timing and uncertainty of revenue and cash flows arising from contracts with customers.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Product Sales.</w:t>
      </w:r>
      <w:r>
        <w:rPr>
          <w:rFonts w:ascii="Times New Roman;Times;serif" w:hAnsi="Times New Roman;Times;serif"/>
          <w:sz w:val="20"/>
        </w:rPr>
        <w:t xml:space="preserve"> We recognize revenue from sales of products upon shipment or delivery when control of the product transfers to the customer, depending on the terms of each sale, and when collection is probable. We generally offer customers payment terms of less than one year. In cases when payment terms extend beyond one year, we consider whether the contract has a significant financing component. In the circumstance where terms of a product sale include subjective customer acceptance criteria, revenue is deferred until we have achieved the customer acceptance criteria unless such acceptance criteria are perfunctory or inconsequential. On occasion, customers request that completed products be held for future delivery for the customers’ convenience under bill-and-hold arrangements due to site readiness, installation scheduling, importation, or other customer-specific considerations. Determining whether control transfers before physical possession in these bill-and-hold arrangements requires significant judgment. We recognize revenue only when the bill-and-hold criteria in ASC 606 are met, including that the products are separately identified, ready for shipment, and cannot be redirected to another customer. Any storage provided after control transfers is not a separate performance obligation. We recognized bill-and-hold revenues of $64.7 million, $19.1 million and $5.5 million for the fiscal years ended June 30, 2026, 2025 and 2024 respectively. The increase in fiscal year 2026 compared to fiscal year 2025 was primarily attributable to customer-requested shipment delays from site readiness and delivery constraints on certain contracts in the Security division for infrastructure and border security projects. The increase in fiscal year 2025 compared to fiscal year 2024 was primarily due to customer-requested shipment delays from site readiness and delivery constraints on certain contracts in the Security division for border security projects.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Revenue from services includes installation and implementation of products and turnkey security screening services and after-market services. Generally, revenue from services is recognized over time as the services are performed. Revenues from out of warranty service maintenance contracts are recognized ratably over the respective terms of such contracts. Deferred revenue for such services arises from payments received from customers for services not yet performed.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Sales agreements with customers can be project specific, cover a period of time, and can be renewable periodically. The contracts may contain terms and conditions with respect to payment, delivery, installation, services, warranty and other rights. In certain instances, we consider an accepted customer order, governed by a master sales agreement, to be the contract with the customer when legal rights and obligations exist. Contracts with customers may include the sale of products and services, as discussed in the paragraphs above. In certain instances, contracts can contain multiple performance obligations as discussed in the paragraph below. According to the terms of a sale contract, we may receive consideration from a customer prior to transferring goods to the customer, and we record these prepayments as an advance receipt. We also record deferred revenue, typically related to service contracts, when consideration is received before the services have been performed. We recognize contract liabilities and deferred revenue as net sales after all revenue recognition criteria are met.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When determining revenue recognition for contracts, we make judgments based on our understanding of the obligations in each contract. We determine whether or not customer acceptance criteria are perfunctory or inconsequential. The determination of whether or not customer acceptance terms are perfunctory or inconsequential impacts the amount and timing of revenue recognition. Judgments also include estimates of warranty reserves, which are established based on historical experience and knowledge of the product under warranty.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Multiple Performance Obligations.</w:t>
      </w:r>
      <w:r>
        <w:rPr>
          <w:rFonts w:ascii="Times New Roman;Times;serif" w:hAnsi="Times New Roman;Times;serif"/>
          <w:sz w:val="20"/>
        </w:rPr>
        <w:t xml:space="preserve"> Certain agreements with customers include the sale of capital equipment involving multiple elements that may include civil works to prepare a site for the installation of equipment, manufacture and delivery of equipment, installation and integration of equipment, training of customer personnel to operate the equipment and after-market service of the equipment. We assign multiple elements in a contract into separate performance obligations if those elements are distinct, both individually and in the context of the contract. If multiple promises comprise a series of distinct services which are substantially the same and have the same pattern of transfer, they are combined and accounted for as a single performance obligation.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cases where obligations in a contract are distinct and thus require separation into multiple performance obligations, revenue recognition guidance requires that contract consideration be allocated to each distinct performance obligation based on its relative standalone selling price. The value allocated to each performance obligation is then recognized as revenue when the revenue recognition criteria for each distinct obligation or bundle of obligations has been met.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standalone selling price for each performance obligation is an amount that depicts the amount of consideration to which the entity expects to be entitled in exchange for transferring the good or service. When there is only one performance obligation associated with a contract, the entire sale value is attributed to that obligation. When a contract contains multiple performance obligations, the standalone selling price is first estimated using the observable price, which is generally a list price net of applicable discount, or the price used to sell the good or service in similar circumstances. In circumstances when a selling price is not directly observable, we will estimate the standalone selling price using information available to us including our market assessment and/or expected cost plus margin.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timetable for fulfilment of each of the distinct performance obligations can range from completion in a short amount of time and entirely within a single reporting period to completion over several reporting periods. The timing of revenue recognition for each performance obligation may be dependent upon several milestones, including physical delivery of equipment, completion of factory acceptance test, completion of site acceptance test, installation and connectivity of equipment, certification of training of personnel and, in the case of after-market service deliverables, the passage of time (typically evenly over the post-warranty period of the service deliverable).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often provide a guarantee to support our performance under multiple performance obligations. In the event that customers are permitted to terminate such arrangements, the underlying contract typically requires payment for deliverables and reimbursement of costs incurred through the date of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disaggregate revenue by reporting segment (Security, Optoelectronics and Manufacturing, and Healthcare) to depict the nature of revenue in a manner consistent with our business operations and to be consistent with other communications and public filings. Refer to Note 14 for additional details of revenues by reporting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Contract Assets and Liabilities.</w:t>
      </w:r>
      <w:r>
        <w:rPr>
          <w:rFonts w:ascii="Times New Roman;Times;serif" w:hAnsi="Times New Roman;Times;serif"/>
          <w:sz w:val="20"/>
        </w:rPr>
        <w:t xml:space="preserve"> We enter into contracts to sell products and provide services, and we recognize contract assets and liabilities that arise from these transactions. We recognize revenue and corresponding accounts receivable according to ASC 606. When we recognize revenue in advance of the point in time at which contracts give us the right to invoice a customer, we record this as unbilled revenue, which is included in accounts receivable, net, on the consolidated balance sheet. We may also receive consideration, per the terms of a contract, from customers prior to transferring goods to the customer. We record customer deposits as contract liabilities. Additionally, we may receive payments, most typically under service and warranty contracts, at the onset of the contract and before services have been performed. In such instances, we record a deferred revenue liability. We recognize these contract liabilities as sales after all revenue recognition criteria are met.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i/>
          <w:sz w:val="20"/>
        </w:rPr>
        <w:t>Practical Expedients.</w:t>
      </w:r>
      <w:r>
        <w:rPr>
          <w:rFonts w:ascii="Times New Roman;Times;serif" w:hAnsi="Times New Roman;Times;serif"/>
          <w:sz w:val="24"/>
        </w:rPr>
        <w:t xml:space="preserve"> </w:t>
      </w:r>
      <w:r>
        <w:rPr>
          <w:rFonts w:ascii="Times New Roman;Times;serif" w:hAnsi="Times New Roman;Times;serif"/>
          <w:sz w:val="20"/>
        </w:rPr>
        <w:t>In cases where we are responsible for shipping after the customer has obtained control of the goods, we have elected to treat the shipping activities as fulfillment activities rather than as a separate performance obligation. Additionally, we have elected to capitalize the cost to obtain a contract only if the period of amortization would be longer than one year. We only give consideration to whether a customer agreement has a financing component</w:t>
      </w:r>
      <w:r>
        <w:rPr>
          <w:rFonts w:ascii="Times New Roman;Times;serif" w:hAnsi="Times New Roman;Times;serif"/>
          <w:sz w:val="24"/>
        </w:rPr>
        <w:t xml:space="preserve"> </w:t>
      </w:r>
      <w:r>
        <w:rPr>
          <w:rFonts w:ascii="Times New Roman;Times;serif" w:hAnsi="Times New Roman;Times;serif"/>
          <w:sz w:val="20"/>
        </w:rPr>
        <w:t>if the period of time between transfer of goods and services and customer payment is greater than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Freight</w:t>
      </w:r>
      <w:r>
        <w:rPr>
          <w:rFonts w:ascii="Times New Roman;Times;serif" w:hAnsi="Times New Roman;Times;serif"/>
          <w:sz w:val="20"/>
        </w:rPr>
        <w:t>—We record shipping and handling fees that we charge to our customers as revenue and related costs as 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Research and Development Costs</w:t>
      </w:r>
      <w:r>
        <w:rPr>
          <w:rFonts w:ascii="Times New Roman;Times;serif" w:hAnsi="Times New Roman;Times;serif"/>
          <w:sz w:val="20"/>
        </w:rPr>
        <w:t>—Research and development costs are those costs related to the development of a new product, process or service, or significant improvement to an existing product, process or service. Such costs are charged to operations as incurred.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Stock-Based Compensation</w:t>
      </w:r>
      <w:r>
        <w:rPr>
          <w:rFonts w:ascii="Times New Roman;Times;serif" w:hAnsi="Times New Roman;Times;serif"/>
          <w:sz w:val="20"/>
        </w:rPr>
        <w:t>—Stock-based compensation cost is measured at the grant date based on the estimated fair value of the award and is recognized as expense over the employee’s requisite service period for all stock-based awards granted or modified. Certain restricted stock unit awards vest based on the achievement of pre-established performance criteria. The fair value of performance-based awards is estimated at the date of grant based upon the probability that the specified performance criteria will be met, adjusted for estimated forfeitures. Each quarter we update our assessment of the probability that the specified performance criteria will be achieved and adjust the estimate of the expenses of the performance-based awards if necessary. We amortize the fair value of performance-based awards over the requisite service period for each separately vesting tranche of the award. See Note 9 to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Impairment, Restructuring and Other Charges</w:t>
      </w:r>
      <w:r>
        <w:rPr>
          <w:rFonts w:ascii="Times New Roman;Times;serif" w:hAnsi="Times New Roman;Times;serif"/>
          <w:sz w:val="20"/>
        </w:rPr>
        <w:t>—We account for certain charges related to restructuring activities, litigation, acquisition-related costs and other non-routine charges as Impairment, restructuring and other charges in the consolidated financial statements. See Note 7 for additional information about these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Credit Risk and Concentration</w:t>
      </w:r>
      <w:r>
        <w:rPr>
          <w:rFonts w:ascii="Times New Roman;Times;serif" w:hAnsi="Times New Roman;Times;serif"/>
          <w:sz w:val="20"/>
        </w:rPr>
        <w:t>— Financial instruments that are potentially subject to concentrations of credit risk consist primarily of cash, cash equivalents, marketable securities and accounts receivable. We restrict investments in cash equivalents to financial institutions with high credit standing. Credit risk on accounts receivable is minimized as a result of the large and diverse nature of our company’s worldwide customer base. As of June 30, 2025, one customer in the Security division accounted for 42% of accounts receivable, net. As of June 30, 2026, one customer in the Security division accounted for 25% of accounts receivable, net. In fiscal year 2025, one Security division customer accounted for 11% of net revenues. In fiscal year 2026, no customer accounted for greater than 10% of net revenues. We perform ongoing credit evaluations of our customers’ financial condition and maintain allowances for potential credit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cash and cash equivalents totaled $106.4 million and $359.8 million at June 30, 2025 and 2026, respectively. Of these amounts, approximately 78% and 23% were held by our foreign subsidiaries at June 30, 2025 and 2026, respectively</w:t>
      </w:r>
      <w:r>
        <w:rPr>
          <w:rFonts w:ascii="Times New Roman;Times;serif" w:hAnsi="Times New Roman;Times;serif"/>
          <w:sz w:val="24"/>
        </w:rPr>
        <w:t>,</w:t>
      </w:r>
      <w:r>
        <w:rPr>
          <w:rFonts w:ascii="Times New Roman;Times;serif" w:hAnsi="Times New Roman;Times;serif"/>
          <w:sz w:val="20"/>
        </w:rPr>
        <w:t xml:space="preserve"> and are subject to repatriation tax considerations. These foreign funds were held primarily by our subsidiaries in India, United Kingdom, Singapore, Canada, and Malaysia. We have cash holdings in financial institutions that exceed insured limits for such financial institutions; however, we mitigate this risk by utilizing international financial institutions of high credit quality.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cost, quality control, technological, and efficiency reasons, we purchase certain materials, parts, and components only from single vendors with whom we have ongoing relationships. We do, however, qualify second sources for many of our materials, parts, and components. While management believes that relying on key vendors improves the efficiency and reliability of business operations, relying on any one vendor for a significant aspect of business can have a significant negative impact on revenue and profitability if that vendor fails to perform at acceptable service levels for any reason, including financial difficulties of the vendor.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i/>
          <w:sz w:val="20"/>
        </w:rPr>
        <w:t>Foreign Currency Translation and Transactions</w:t>
      </w:r>
      <w:r>
        <w:rPr>
          <w:rFonts w:ascii="Times New Roman;Times;serif" w:hAnsi="Times New Roman;Times;serif"/>
          <w:sz w:val="24"/>
        </w:rPr>
        <w:t xml:space="preserve">— </w:t>
      </w:r>
      <w:r>
        <w:rPr>
          <w:rFonts w:ascii="Times New Roman;Times;serif" w:hAnsi="Times New Roman;Times;serif"/>
          <w:sz w:val="20"/>
        </w:rPr>
        <w:t>We transact business in various foreign currencies. In countries where the functional currency of the underlying operations has been determined to be the local country’s currency, revenues and expenses of operations outside the United States are translated into United States dollars using average exchange rates while assets and liabilities of operations outside the United States are translated into United States dollars using period-end exchange rates. The effects of foreign currency translation adjustments are included in stockholders’ equity as a component of accumulated other comprehensive income (loss) in the accompanying consolidated balance sheets. We also have subsidiaries where the United States dollar has been designated as the functional currency based on individual facts and circumstances. Remeasurement of non-United States dollar monetary assets and liabilities are translated using period-end exchange rates and associated gains and losses are recognized in the consolidated statements of operations. Non-monetary assets and liabilities are translated using historical exchange rates. Foreign currency losses which were included in our consolidated statement of operations, amounted to approximately $5.1</w:t>
      </w:r>
      <w:r>
        <w:rPr>
          <w:rFonts w:ascii="Times New Roman;Times;serif" w:hAnsi="Times New Roman;Times;serif"/>
          <w:sz w:val="24"/>
        </w:rPr>
        <w:t xml:space="preserve"> </w:t>
      </w:r>
      <w:r>
        <w:rPr>
          <w:rFonts w:ascii="Times New Roman;Times;serif" w:hAnsi="Times New Roman;Times;serif"/>
          <w:sz w:val="20"/>
        </w:rPr>
        <w:t>million, $12.7</w:t>
      </w:r>
      <w:r>
        <w:rPr>
          <w:rFonts w:ascii="Times New Roman;Times;serif" w:hAnsi="Times New Roman;Times;serif"/>
          <w:sz w:val="24"/>
        </w:rPr>
        <w:t xml:space="preserve"> </w:t>
      </w:r>
      <w:r>
        <w:rPr>
          <w:rFonts w:ascii="Times New Roman;Times;serif" w:hAnsi="Times New Roman;Times;serif"/>
          <w:sz w:val="20"/>
        </w:rPr>
        <w:t>million and $1.6</w:t>
      </w:r>
      <w:r>
        <w:rPr>
          <w:rFonts w:ascii="Times New Roman;Times;serif" w:hAnsi="Times New Roman;Times;serif"/>
          <w:sz w:val="24"/>
        </w:rPr>
        <w:t xml:space="preserve"> </w:t>
      </w:r>
      <w:r>
        <w:rPr>
          <w:rFonts w:ascii="Times New Roman;Times;serif" w:hAnsi="Times New Roman;Times;serif"/>
          <w:sz w:val="20"/>
        </w:rPr>
        <w:t>million for the fiscal years ended June 30, 2024, 2025 and 2026, respectively.</w:t>
      </w:r>
      <w:r>
        <w:rPr>
          <w:rFonts w:ascii="Times New Roman;Times;serif" w:hAnsi="Times New Roman;Times;serif"/>
          <w:sz w:val="24"/>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Business Combinations</w:t>
      </w:r>
      <w:r>
        <w:rPr>
          <w:rFonts w:ascii="Times New Roman;Times;serif" w:hAnsi="Times New Roman;Times;serif"/>
          <w:sz w:val="20"/>
        </w:rPr>
        <w:t>—Under ASC 805, the acquisition method of accounting requires us to record assets acquired and liabilities assumed from an acquisition at their estimated fair values at the date of acquisition. Any excess of the total estimated purchase price over the estimated fair value of the net assets acquired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upon assumptions believed to be reasonable, but which are inherently uncertain and unpredictable and, as a result, actual results may differ from estimates. During the measurement period, which is until we have all the necessary information about the facts and circumstances that existed as of the acquisition date up to one year from the acquisition date, as additional information that existed at the acquisition date becomes available for preliminary estimates, we may record adjustments to the provisional amounts initially recorded for assets acquired and liabilities assumed. Upon the conclusion of the measurement period, any subsequent adjustments are included in earnings.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Earnings per Share</w:t>
      </w:r>
      <w:r>
        <w:rPr>
          <w:rFonts w:ascii="Times New Roman;Times;serif" w:hAnsi="Times New Roman;Times;serif"/>
          <w:sz w:val="20"/>
        </w:rPr>
        <w:t>—We compute basic earnings per share by dividing net income available to common stockholders by the weighted average number of common shares outstanding during the period. We compute diluted earnings per share by dividing net income available to common stockholders by the sum of the weighted average number of common shares and dilutive potential common shares outstanding during the period. Potential common shares consist of the shares issuable upon the exercise of stock options and restricted stock unit awards under the treasury stock method. The underlying equity component of the 2.25% convertible senior notes due 2029 (the “2029 Notes”) and the 0.50% convertible senior notes due 2031 (the “2031 Notes”) will have a net impact on diluted earnings per share when the average price of our common stock exceeds the conversion price of $191.98 for the 2029 Notes and $353.82 for the 2031 Notes because the principal amounts of the respective convertible senior notes will be settled in cash upon conversion. There was a dilutive effect of the 2029 Notes as set forth in the table below for the fiscal year ended June 30, 2026. There was no dilutive impact of the 2031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715" w:name="Tc_KQgvvhZmYUygZzwokReXeA_10_2"/>
      <w:bookmarkStart w:id="716" w:name="Tc_KTLhklccmUymNwGg7vXc0g_10_0"/>
      <w:bookmarkStart w:id="717" w:name="Tc_dNXlfLsUrU25j0MY_UVeUA_9_0"/>
      <w:bookmarkStart w:id="718" w:name="Tc_dohzmluWOUuHVN5i81zkVg_8_0"/>
      <w:bookmarkStart w:id="719" w:name="Tc_nLVvGMmYQkefifav5HnWLw_7_2"/>
      <w:bookmarkStart w:id="720" w:name="Tc_Jad433hYjk2fCqXiu31UeQ_7_0"/>
      <w:bookmarkStart w:id="721" w:name="Tc_maAqEA2uGU6H_YPTfS3dNA_6_0"/>
      <w:bookmarkStart w:id="722" w:name="Tc_8MLeWVe3FEqxOwhnNYEb2g_5_0"/>
      <w:bookmarkStart w:id="723" w:name="Tc_sv0Tf8huh0S7SuysNkt0CQ_4_2"/>
      <w:bookmarkStart w:id="724" w:name="Tc_rP3j-rgECESZNzCHvFtHFw_4_0"/>
      <w:bookmarkStart w:id="725" w:name="Tc_Ld407UASDk6zFvm6UKK5ag_3_0"/>
      <w:bookmarkStart w:id="726" w:name="Tc_imTFsI1NFkqzLLSIgISBPg_2_0"/>
      <w:bookmarkStart w:id="727" w:name="Tc_mUh6r7brzE6--V-_TcUcuA_1_2"/>
      <w:bookmarkStart w:id="728" w:name="Tc_8uGQkMIzs02BooslNDpBLA_1_0"/>
      <w:bookmarkStart w:id="729" w:name="_92f48fa9_3412_4ee9_8023_ab48deb0ce40"/>
      <w:bookmarkStart w:id="730" w:name="Tc_FqTqvqb2WkCz0Lehk9b5eA_10_0"/>
      <w:bookmarkStart w:id="731" w:name="Tc_OC2AbJOiv0uPyU5Enz0pQg_9_8"/>
      <w:bookmarkStart w:id="732" w:name="Tc_SIoJafuu80uf6HqeUVu34g_9_5"/>
      <w:bookmarkStart w:id="733" w:name="Tc_ZSoU0UnEXk2miJz9sBrh_Q_9_2"/>
      <w:bookmarkStart w:id="734" w:name="Tc_TNaRxY36XUCT4QkLyJO7vA_9_0"/>
      <w:bookmarkStart w:id="735" w:name="Tc_R4-TtCcvnkeIoMaRpnDmXg_8_8"/>
      <w:bookmarkStart w:id="736" w:name="Tc_hjsZ-KvX5kCBW5Zn-hPb4g_8_5"/>
      <w:bookmarkStart w:id="737" w:name="Tc_beRuRP6-k0alplyGPdZyag_8_2"/>
      <w:bookmarkStart w:id="738" w:name="Tc_U2RIVVs1pEiRQFmif3f_zg_8_0"/>
      <w:bookmarkStart w:id="739" w:name="Tc_XHBs1YNIwkW1g1JJLepHIQ_7_0"/>
      <w:bookmarkStart w:id="740" w:name="Tc_8_uXWXZ_uEOd972DFDNtvg_6_3"/>
      <w:bookmarkStart w:id="741" w:name="Tc_5xdzINvA5UCB5CajU6z7uw_6_0"/>
      <w:bookmarkStart w:id="742" w:name="Tc_Iw5GJJ4Lx0KhyAlIw-mwGw_5_0"/>
      <w:bookmarkStart w:id="743" w:name="Tc_wV4QwdMHdkC45AL1VAkjAA_4_0"/>
      <w:bookmarkStart w:id="744" w:name="Tc_j2l5KabIaEaUTwlKmBO3wg_3_8"/>
      <w:bookmarkStart w:id="745" w:name="Tc_KNCJmgQ0hUe-tpZQQVOF8A_3_5"/>
      <w:bookmarkStart w:id="746" w:name="Tc_5jSVdN3xVUe85LC7SESYhw_3_2"/>
      <w:bookmarkStart w:id="747" w:name="Tc_Qau_5W99aESL0E9EBBd1vw_3_0"/>
      <w:bookmarkStart w:id="748" w:name="Tc_zdaiETdDTkWNSGoj9cJ-1w_2_8"/>
      <w:bookmarkStart w:id="749" w:name="Tc_GBqTnv55-EiYxkhIUxm7pw_2_5"/>
      <w:bookmarkStart w:id="750" w:name="Tc_rdgTbUVBskWNp2ZZAZ7-cQ_2_2"/>
      <w:bookmarkStart w:id="751" w:name="Tc_0VcokNyvckeFyJXrIAbJWg_1_2"/>
      <w:bookmarkStart w:id="752" w:name="_edc2166a_15ba_4ccf_9124_f06434e64039"/>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Pr>
          <w:rFonts w:ascii="Times New Roman;Times;serif" w:hAnsi="Times New Roman;Times;serif"/>
          <w:sz w:val="20"/>
        </w:rPr>
        <w:t>The following table sets forth the computation of basic and diluted earnings per share (in thousands, except per share amounts):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6146"/>
        <w:gridCol w:w="346"/>
        <w:gridCol w:w="211"/>
        <w:gridCol w:w="781"/>
        <w:gridCol w:w="346"/>
        <w:gridCol w:w="211"/>
        <w:gridCol w:w="781"/>
        <w:gridCol w:w="346"/>
        <w:gridCol w:w="211"/>
        <w:gridCol w:w="826"/>
      </w:tblGrid>
      <w:tr>
        <w:trPr/>
        <w:tc>
          <w:tcPr>
            <w:tcW w:w="6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902710" cy="175260"/>
                      <wp:effectExtent l="0" t="0" r="0" b="0"/>
                      <wp:wrapNone/>
                      <wp:docPr id="237" name="Frame235"/>
                      <a:graphic xmlns:a="http://schemas.openxmlformats.org/drawingml/2006/main">
                        <a:graphicData uri="http://schemas.microsoft.com/office/word/2010/wordprocessingShape">
                          <wps:wsp>
                            <wps:cNvSpPr txBox="1"/>
                            <wps:spPr>
                              <a:xfrm>
                                <a:off x="0" y="0"/>
                                <a:ext cx="390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8"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39"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95935" cy="175260"/>
                      <wp:effectExtent l="0" t="0" r="0" b="0"/>
                      <wp:wrapNone/>
                      <wp:docPr id="240" name="Frame2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1"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2"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95935" cy="175260"/>
                      <wp:effectExtent l="0" t="0" r="0" b="0"/>
                      <wp:wrapNone/>
                      <wp:docPr id="243" name="Frame2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4"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5"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24510" cy="175260"/>
                      <wp:effectExtent l="0" t="0" r="0" b="0"/>
                      <wp:wrapNone/>
                      <wp:docPr id="246" name="Frame2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June 30,</w:t>
            </w:r>
          </w:p>
        </w:tc>
      </w:tr>
      <w:tr>
        <w:trPr/>
        <w:tc>
          <w:tcPr>
            <w:tcW w:w="6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154,711</w:t>
            </w:r>
          </w:p>
        </w:tc>
      </w:tr>
      <w:tr>
        <w:trPr/>
        <w:tc>
          <w:tcPr>
            <w:tcW w:w="6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16,584</w:t>
            </w:r>
          </w:p>
        </w:tc>
      </w:tr>
      <w:tr>
        <w:trPr/>
        <w:tc>
          <w:tcPr>
            <w:tcW w:w="6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equity awards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6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2029 Notes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6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17,280</w:t>
            </w:r>
          </w:p>
        </w:tc>
      </w:tr>
      <w:tr>
        <w:trPr/>
        <w:tc>
          <w:tcPr>
            <w:tcW w:w="6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r>
      <w:tr>
        <w:trPr/>
        <w:tc>
          <w:tcPr>
            <w:tcW w:w="61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r>
      <w:tr>
        <w:trPr/>
        <w:tc>
          <w:tcPr>
            <w:tcW w:w="61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excluded from diluted earnings per share due to their anti-dilutive effect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b/>
          <w:i/>
          <w:sz w:val="20"/>
        </w:rPr>
        <w:t>Warranty Provision</w:t>
      </w:r>
      <w:r>
        <w:rPr>
          <w:rFonts w:ascii="Times New Roman;Times;serif" w:hAnsi="Times New Roman;Times;serif"/>
          <w:sz w:val="24"/>
        </w:rPr>
        <w:t>—</w:t>
      </w:r>
      <w:r>
        <w:rPr>
          <w:rFonts w:ascii="Times New Roman;Times;serif" w:hAnsi="Times New Roman;Times;serif"/>
          <w:sz w:val="20"/>
        </w:rPr>
        <w:t>We offer our customers warranties on many of the products that we sell. These warranties typically provide for repairs and maintenance of the products if problems arise during a specified time period after original shipment. Concurrent with the sale of products, we record a provision for estimated warranty expenses with a corresponding increase in cost of goods sold. We periodically adjust this provision based on historical experience and anticipated expenses. We charge actual expenses of repairs under warranty, including parts and labor, to this provision when incurred. The current obligation for warranty provision is included in other accrued expenses and current liabilities and the noncurrent portion is included in other long-term liabilities in the consolidated balance sheets, whose activity for each of the three fiscal years ended June 30, 2026 is summarized in the following table (in thousands):</w:t>
      </w:r>
    </w:p>
    <w:p>
      <w:pPr>
        <w:pStyle w:val="TextBody"/>
        <w:bidi w:val="0"/>
        <w:spacing w:before="0" w:after="0"/>
        <w:ind w:left="0" w:right="0" w:firstLine="720"/>
        <w:jc w:val="both"/>
        <w:rPr/>
      </w:pPr>
      <w:r>
        <w:rPr/>
        <w:t>​</w:t>
      </w:r>
    </w:p>
    <w:tbl>
      <w:tblPr>
        <w:tblW w:w="5749" w:type="dxa"/>
        <w:jc w:val="left"/>
        <w:tblInd w:w="0" w:type="dxa"/>
        <w:tblLayout w:type="fixed"/>
        <w:tblCellMar>
          <w:top w:w="0" w:type="dxa"/>
          <w:left w:w="0" w:type="dxa"/>
          <w:bottom w:w="0" w:type="dxa"/>
          <w:right w:w="0" w:type="dxa"/>
        </w:tblCellMar>
      </w:tblPr>
      <w:tblGrid>
        <w:gridCol w:w="4411"/>
        <w:gridCol w:w="346"/>
        <w:gridCol w:w="211"/>
        <w:gridCol w:w="78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800985" cy="175260"/>
                      <wp:effectExtent l="0" t="0" r="0" b="0"/>
                      <wp:wrapNone/>
                      <wp:docPr id="247" name="Frame245"/>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48"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49"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95935" cy="175260"/>
                      <wp:effectExtent l="0" t="0" r="0" b="0"/>
                      <wp:wrapNone/>
                      <wp:docPr id="250"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provision as of June 30, 2023</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claims provided for/assumed in acquisition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5,878</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made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provision as of June 30,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11,089</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claims provided for/assumed in acquisition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5,704</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made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provision as of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claims provided for/assumed in acquisition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made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provision as of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11,514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Leases</w:t>
      </w:r>
      <w:r>
        <w:rPr>
          <w:rFonts w:ascii="Times New Roman;Times;serif" w:hAnsi="Times New Roman;Times;serif"/>
          <w:sz w:val="20"/>
        </w:rPr>
        <w:t>—Right-of-use (“ROU”) assets represent our right to use an underlying asset during the reasonably certain lease terms, and lease liabilities represent our obligation to make lease payments arising from the leases. We recognize ROU lease assets and lease liabilities at lease commencement on our consolidated balance sheet based on the present value of lease payments over the lease term using a discount rate determined based on our incremental borrowing rate since the rate implicit in each lease is not readily determinable. We elected the package of practical expedients, which permits us to not reassess (1) whether any expired or existing contracts are or contain leases, (2) the lease classification of any expired or existing leases, and (3) any initial direct costs for any existing leases as of the effective date. We elected the practical expedient to account for each separate lease component of a contract and its associated non-lease components as a single lease component. We also elected the hindsight practical expedient, which allows us to use hindsight in determining the lease term. We do not record a ROU asset and corresponding lease liability for leases with an initial term of one year or less (“short-term leases”). The terms in our leases may include options to extend or terminate the lease. We recognize ROU assets and liabilities when it is reasonably certain that we will exercise those options. Judgment is required in our assessment as to whether renewal or termination options are reasonably certain to be exercised and factors such as contractual terms compared to current market rates and the importance of the facility and location to our operations, among others, are considered. Lease payments are made in accordance with the lease terms, and lease expense, including short-term lease expense, is recognized on a straight-line basis over the lease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lease facilities and certain equipment under various operating lease agreements. The majority of our lease arrangements are comprised of fixed payments while certain of our other leases provide for periodic rent increases. Our leases may contain escalation clauses and renewal options. Most of the leases require us to pay for certain other costs such as common area maintenance and property taxes. Rent expense for leases with periodic rent increases or escalation clauses is recognized on a straight-line basis over the minimum lease term. The lease agreements do not contain any material residual value guarantees or material restrictive covenants. We also have finance leases for fleet vehicles that are not material to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Subsequent Event</w:t>
      </w:r>
      <w:r>
        <w:rPr>
          <w:rFonts w:ascii="Times New Roman;Times;serif" w:hAnsi="Times New Roman;Times;serif"/>
          <w:sz w:val="20"/>
        </w:rPr>
        <w:t>—In accordance with ASC 855, our management evaluated material events after the balance sheet date through the date of the filing of this report with the SEC. Other than the increase in the stock repurchase authorization described in Note 9, no subsequent events occurred that required adjustment to, or disclosure in, the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Guidance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and other regulatory bodies that are adopted as of the specified effective dates. Unless otherwise discussed below, management believes that the impact of recently issued standards, which are not yet effective for the Company, will not have a material impact on our Consolidated Financial Statements upon adoption.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Accounting Guidance Adopted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December 2023, the FASB issued Accounting Standards Update 2023-09, “Improvements to Income Tax Disclosures” (“ASU 2023-09”), which provides for additional disclosures primarily related to income tax rate reconciliations and income taxes paid. ASU 2023-09 requires entities to annually disclose income tax rate reconciliation using both amounts and percentages, considering several categories of reconciling items, including state and local income taxes, foreign tax effects, tax credits and nontaxable or nondeductible items, among others. Disclosure of reconciling items is subject to a quantitative threshold and disaggregation by nature and jurisdiction. ASU 2023-09 also requires entities to disclose net income taxes paid to or received from federal, state and foreign jurisdictions, as well as by individual jurisdiction, subject to a five percent quantitative threshold. We adopted ASU 2023-09 in fiscal year 2026 on a prospective basis.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Accounting Guidance Not Yet Adopted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November 2024, the FASB issued Accounting Standards Update 2024-03, “Income Statement-Reporting Comprehensive Income (Topic 220): Expense Disaggregation Disclosures”, (“ASU 2024-03”) which requires additional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ASU 2024-03 is effective for annual periods beginning after December 15, 2026, and interim periods within annual reporting periods beginning after December 15, 2027. Early adoption is permitted and may be applied either on a prospective or retrospective basis. We are evaluating the potential impact of ASU 2024-03 on disclosures in our Consolidated Financial Statements which will be effective beginning with our Form 10-K for fiscal year 2028.</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September 2025, the FASB issued Accounting Standards Update 2025-06 “Intangibles - Goodwill and Other - Internal-Use Software (Subtopic 350-40): Targeted Improvements to the Accounting for Internal-Use Software” (“ASU 2025-06”) which modernizes the accounting for internal-use software to current development practices, clarifies when to begin capitalizing costs and enhances disclosure requirements. This standard is effective for annual reporting periods beginning after December 15, 2027, including interim periods within those annual periods. Early adoption is permitted. The amendments are to be applied retrospectively, prospectively, or a modified transition approach may be used based on the status of the project and whether software costs were capitalized before the date of adoption. We are evaluating the potential impact of ASU 2025-06 on disclosures in our Consolidated Financial Statements which will be effective beginning with our Form 10-K for fiscal year 2029.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December 2025, the FASB issued Accounting Standards Update 2025-11, “Interim Reporting (Topic 270): Narrow-Scope Improvements” (ASU 2025-11”), which clarifies the application, form and content, and required disclosures for interim financial statements prepared in accordance with GAAP. The ASU improves the organization and clarity of ASU 2025-11 by specifying interim reporting requirements, consolidating required interim disclosures and introducing a disclosure principle for events and changes occurring after the end of the most recent annual reporting period that have a material impact on the entity. ASU 2025-11 is effective for interim periods within annual reporting periods beginning after December 15, 2027, with early adoption permitted. We are evaluating the potential impact of ASU 2025-11 on disclosures in our Consolidated Financial Statements which will be effective for interim periods beginning fiscal year 2029.</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2025, the FASB issued Accounting Standards Update 2025-12, “Codification Improvements” (“ASU 2025-12”). ASU 2025-12 includes changes that clarify, correct, or otherwise improve certain components of the Accounting Standards Codification. The improvements consist of narrow-scope amendments, technical corrections, clarification of existing guidance, and updates to clarify the appropriate scope and application of certain disclosure requirements. ASU 2025-12 is effective for annual periods beginning after December 15, 2026. We are evaluating the potential impact of ASU 2025-12 on disclosures in our Consolidated Financial Statements which will be effective beginning with our Form 10-K for fiscal year 2028.</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Accounting Standards Codification Topic 805, Business Combinations (“ASC 805”), the acquisition method of accounting requires us to record assets acquired less liabilities assumed from an acquisition at their estimated fair values at the date of acquisition. Any excess of the total estimated purchase price over the estimated fair value of the net assets acquired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on assumptions which are believed to be reasonable, but which are inherently uncertain and unpredictable and, as a result, actual results may differ from estimates. During the measurement period for fair value, which is up to one year from the acquisition date, as additional information that existed at the acquisition date becomes available, we may record adjustments to the preliminary assets acquired and liabilities assumed. Upon the conclusion of the measurement period, any subsequent adjustments are included in earnings.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Fiscal Year 2026 Business Acquisition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0"/>
        </w:rPr>
        <w:t>In June 2026, we (through our Security division) acquired a privately held provider of airport screening services for approximately $27.0</w:t>
      </w:r>
      <w:r>
        <w:rPr>
          <w:rFonts w:ascii="Times New Roman;Times;serif" w:hAnsi="Times New Roman;Times;serif"/>
          <w:sz w:val="24"/>
        </w:rPr>
        <w:t xml:space="preserve"> </w:t>
      </w:r>
      <w:r>
        <w:rPr>
          <w:rFonts w:ascii="Times New Roman;Times;serif" w:hAnsi="Times New Roman;Times;serif"/>
          <w:sz w:val="20"/>
        </w:rPr>
        <w:t>million, plus up to $14.0</w:t>
      </w:r>
      <w:r>
        <w:rPr>
          <w:rFonts w:ascii="Times New Roman;Times;serif" w:hAnsi="Times New Roman;Times;serif"/>
          <w:sz w:val="24"/>
        </w:rPr>
        <w:t xml:space="preserve"> </w:t>
      </w:r>
      <w:r>
        <w:rPr>
          <w:rFonts w:ascii="Times New Roman;Times;serif" w:hAnsi="Times New Roman;Times;serif"/>
          <w:sz w:val="20"/>
        </w:rPr>
        <w:t>million in potential contingent consideration. We paid $26.2</w:t>
      </w:r>
      <w:r>
        <w:rPr>
          <w:rFonts w:ascii="Times New Roman;Times;serif" w:hAnsi="Times New Roman;Times;serif"/>
          <w:sz w:val="24"/>
        </w:rPr>
        <w:t xml:space="preserve"> </w:t>
      </w:r>
      <w:r>
        <w:rPr>
          <w:rFonts w:ascii="Times New Roman;Times;serif" w:hAnsi="Times New Roman;Times;serif"/>
          <w:sz w:val="20"/>
        </w:rPr>
        <w:t>million in cash at the closing of the transaction, with a holdback of $0.8</w:t>
      </w:r>
      <w:r>
        <w:rPr>
          <w:rFonts w:ascii="Times New Roman;Times;serif" w:hAnsi="Times New Roman;Times;serif"/>
          <w:sz w:val="24"/>
        </w:rPr>
        <w:t xml:space="preserve"> </w:t>
      </w:r>
      <w:r>
        <w:rPr>
          <w:rFonts w:ascii="Times New Roman;Times;serif" w:hAnsi="Times New Roman;Times;serif"/>
          <w:sz w:val="20"/>
        </w:rPr>
        <w:t>million expected to be paid in July 2028. The acquisition date fair value of the contingent consideration was $9.7</w:t>
      </w:r>
      <w:r>
        <w:rPr>
          <w:rFonts w:ascii="Times New Roman;Times;serif" w:hAnsi="Times New Roman;Times;serif"/>
          <w:sz w:val="24"/>
        </w:rPr>
        <w:t xml:space="preserve"> </w:t>
      </w:r>
      <w:r>
        <w:rPr>
          <w:rFonts w:ascii="Times New Roman;Times;serif" w:hAnsi="Times New Roman;Times;serif"/>
          <w:sz w:val="20"/>
        </w:rPr>
        <w:t>million. The purchase price of $36.7</w:t>
      </w:r>
      <w:r>
        <w:rPr>
          <w:rFonts w:ascii="Times New Roman;Times;serif" w:hAnsi="Times New Roman;Times;serif"/>
          <w:sz w:val="24"/>
        </w:rPr>
        <w:t xml:space="preserve"> </w:t>
      </w:r>
      <w:r>
        <w:rPr>
          <w:rFonts w:ascii="Times New Roman;Times;serif" w:hAnsi="Times New Roman;Times;serif"/>
          <w:sz w:val="20"/>
        </w:rPr>
        <w:t>million was allocated to net working capital of $2.3</w:t>
      </w:r>
      <w:r>
        <w:rPr>
          <w:rFonts w:ascii="Times New Roman;Times;serif" w:hAnsi="Times New Roman;Times;serif"/>
          <w:sz w:val="24"/>
        </w:rPr>
        <w:t xml:space="preserve"> </w:t>
      </w:r>
      <w:r>
        <w:rPr>
          <w:rFonts w:ascii="Times New Roman;Times;serif" w:hAnsi="Times New Roman;Times;serif"/>
          <w:sz w:val="20"/>
        </w:rPr>
        <w:t>million, intangible assets of $12.5</w:t>
      </w:r>
      <w:r>
        <w:rPr>
          <w:rFonts w:ascii="Times New Roman;Times;serif" w:hAnsi="Times New Roman;Times;serif"/>
          <w:sz w:val="24"/>
        </w:rPr>
        <w:t xml:space="preserve"> </w:t>
      </w:r>
      <w:r>
        <w:rPr>
          <w:rFonts w:ascii="Times New Roman;Times;serif" w:hAnsi="Times New Roman;Times;serif"/>
          <w:sz w:val="20"/>
        </w:rPr>
        <w:t>million and goodwill of $21.9</w:t>
      </w:r>
      <w:r>
        <w:rPr>
          <w:rFonts w:ascii="Times New Roman;Times;serif" w:hAnsi="Times New Roman;Times;serif"/>
          <w:sz w:val="24"/>
        </w:rPr>
        <w:t xml:space="preserve"> </w:t>
      </w:r>
      <w:r>
        <w:rPr>
          <w:rFonts w:ascii="Times New Roman;Times;serif" w:hAnsi="Times New Roman;Times;serif"/>
          <w:sz w:val="20"/>
        </w:rPr>
        <w:t>million. Amortizable intangible assets of $10.2</w:t>
      </w:r>
      <w:r>
        <w:rPr>
          <w:rFonts w:ascii="Times New Roman;Times;serif" w:hAnsi="Times New Roman;Times;serif"/>
          <w:sz w:val="24"/>
        </w:rPr>
        <w:t xml:space="preserve"> </w:t>
      </w:r>
      <w:r>
        <w:rPr>
          <w:rFonts w:ascii="Times New Roman;Times;serif" w:hAnsi="Times New Roman;Times;serif"/>
          <w:sz w:val="20"/>
        </w:rPr>
        <w:t>million have estimated lives ranging from 2 years</w:t>
      </w:r>
      <w:r>
        <w:rPr>
          <w:rFonts w:ascii="Times New Roman;Times;serif" w:hAnsi="Times New Roman;Times;serif"/>
          <w:sz w:val="24"/>
        </w:rPr>
        <w:t xml:space="preserve"> </w:t>
      </w:r>
      <w:r>
        <w:rPr>
          <w:rFonts w:ascii="Times New Roman;Times;serif" w:hAnsi="Times New Roman;Times;serif"/>
          <w:sz w:val="20"/>
        </w:rPr>
        <w:t>to 10 years. The acquisition was financed with cash on hand. The goodwill recognized for this business acquisition is deductible for income tax purposes. Revenue and earnings from this acquisition in fiscal year 2026 were not significant.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Fiscal Year 2025 Business Acquisitions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September 2024, we (through our Security division) acquired 100% of the shares of common stock of a privately held provider of critical military, space and surveillance solutions to expand our customer base and offer additional products and services for existing customers, for approximately $76.0 million, plus up to $24.0 million in potential contingent consideration. We paid $75.5 million in cash at the closing of the transaction. The cash paid for this acquisition was financed with borrowings from our credit facility. The acquisition date fair value of the contingent consideration was $9.7 million, which, when combined with the amount of cash paid at close and the holdback amount, resulted in total purchase consideration of $85.7 million being allocated to the preliminary fair value of assets acquired and liabilities assumed. The acquisition date fair value of total assets acquired, including measurement period adjustments, was $113.9 million which comprised accounts receivable of $26.1 million, inventory and other current assets of $2.7 million, property and equipment of $7.0 million, goodwill of $30.7 million, other intangible assets of $47.3 million and other noncurrent assets of $0.1 million. Goodwill includes the value of the assembled workforce, new customers and other future economic benefits which do not qualify for separate recognition. The goodwill recognized for this business acquisition is not deductible for income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purposes. Other intangible assets include amortizable intangible assets of $39.2</w:t>
      </w:r>
      <w:r>
        <w:rPr>
          <w:rFonts w:ascii="Times New Roman;Times;serif" w:hAnsi="Times New Roman;Times;serif"/>
          <w:sz w:val="24"/>
        </w:rPr>
        <w:t xml:space="preserve"> </w:t>
      </w:r>
      <w:r>
        <w:rPr>
          <w:rFonts w:ascii="Times New Roman;Times;serif" w:hAnsi="Times New Roman;Times;serif"/>
          <w:sz w:val="20"/>
        </w:rPr>
        <w:t>million with amortization periods of 7</w:t>
      </w:r>
      <w:r>
        <w:rPr>
          <w:rFonts w:ascii="Times New Roman;Times;serif" w:hAnsi="Times New Roman;Times;serif"/>
          <w:sz w:val="24"/>
        </w:rPr>
        <w:t xml:space="preserve"> </w:t>
      </w:r>
      <w:r>
        <w:rPr>
          <w:rFonts w:ascii="Times New Roman;Times;serif" w:hAnsi="Times New Roman;Times;serif"/>
          <w:sz w:val="20"/>
        </w:rPr>
        <w:t>to 10 years</w:t>
      </w:r>
      <w:r>
        <w:rPr>
          <w:rFonts w:ascii="Times New Roman;Times;serif" w:hAnsi="Times New Roman;Times;serif"/>
          <w:sz w:val="24"/>
        </w:rPr>
        <w:t xml:space="preserve"> </w:t>
      </w:r>
      <w:r>
        <w:rPr>
          <w:rFonts w:ascii="Times New Roman;Times;serif" w:hAnsi="Times New Roman;Times;serif"/>
          <w:sz w:val="20"/>
        </w:rPr>
        <w:t>and an indefinite-lived intangible asset of $8.1</w:t>
      </w:r>
      <w:r>
        <w:rPr>
          <w:rFonts w:ascii="Times New Roman;Times;serif" w:hAnsi="Times New Roman;Times;serif"/>
          <w:sz w:val="24"/>
        </w:rPr>
        <w:t xml:space="preserve"> </w:t>
      </w:r>
      <w:r>
        <w:rPr>
          <w:rFonts w:ascii="Times New Roman;Times;serif" w:hAnsi="Times New Roman;Times;serif"/>
          <w:sz w:val="20"/>
        </w:rPr>
        <w:t>million. The acquisition date fair value of total liabilities assumed, including measurement period adjustments, was $28.2</w:t>
      </w:r>
      <w:r>
        <w:rPr>
          <w:rFonts w:ascii="Times New Roman;Times;serif" w:hAnsi="Times New Roman;Times;serif"/>
          <w:sz w:val="24"/>
        </w:rPr>
        <w:t xml:space="preserve"> </w:t>
      </w:r>
      <w:r>
        <w:rPr>
          <w:rFonts w:ascii="Times New Roman;Times;serif" w:hAnsi="Times New Roman;Times;serif"/>
          <w:sz w:val="20"/>
        </w:rPr>
        <w:t>million, which includes a deferred tax liability of $7.3</w:t>
      </w:r>
      <w:r>
        <w:rPr>
          <w:rFonts w:ascii="Times New Roman;Times;serif" w:hAnsi="Times New Roman;Times;serif"/>
          <w:sz w:val="24"/>
        </w:rPr>
        <w:t xml:space="preserve"> </w:t>
      </w:r>
      <w:r>
        <w:rPr>
          <w:rFonts w:ascii="Times New Roman;Times;serif" w:hAnsi="Times New Roman;Times;serif"/>
          <w:sz w:val="20"/>
        </w:rPr>
        <w:t>million that was recognized primarily due to the acquisition of other intangible assets. During the three months ended September 30, 2025, we recorded measurement period adjustments which decreased goodwill by $1.4</w:t>
      </w:r>
      <w:r>
        <w:rPr>
          <w:rFonts w:ascii="Times New Roman;Times;serif" w:hAnsi="Times New Roman;Times;serif"/>
          <w:sz w:val="24"/>
        </w:rPr>
        <w:t xml:space="preserve"> </w:t>
      </w:r>
      <w:r>
        <w:rPr>
          <w:rFonts w:ascii="Times New Roman;Times;serif" w:hAnsi="Times New Roman;Times;serif"/>
          <w:sz w:val="20"/>
        </w:rPr>
        <w:t>million due to a decrease in deferred income taxes of $1.8</w:t>
      </w:r>
      <w:r>
        <w:rPr>
          <w:rFonts w:ascii="Times New Roman;Times;serif" w:hAnsi="Times New Roman;Times;serif"/>
          <w:sz w:val="24"/>
        </w:rPr>
        <w:t xml:space="preserve"> </w:t>
      </w:r>
      <w:r>
        <w:rPr>
          <w:rFonts w:ascii="Times New Roman;Times;serif" w:hAnsi="Times New Roman;Times;serif"/>
          <w:sz w:val="20"/>
        </w:rPr>
        <w:t>million and an increase in intangible assets of $0.1</w:t>
      </w:r>
      <w:r>
        <w:rPr>
          <w:rFonts w:ascii="Times New Roman;Times;serif" w:hAnsi="Times New Roman;Times;serif"/>
          <w:sz w:val="24"/>
        </w:rPr>
        <w:t xml:space="preserve"> </w:t>
      </w:r>
      <w:r>
        <w:rPr>
          <w:rFonts w:ascii="Times New Roman;Times;serif" w:hAnsi="Times New Roman;Times;serif"/>
          <w:sz w:val="20"/>
        </w:rPr>
        <w:t>million, which were partially offset by a decrease in accounts receivable of $0.5</w:t>
      </w:r>
      <w:r>
        <w:rPr>
          <w:rFonts w:ascii="Times New Roman;Times;serif" w:hAnsi="Times New Roman;Times;serif"/>
          <w:sz w:val="24"/>
        </w:rPr>
        <w:t xml:space="preserve"> </w:t>
      </w:r>
      <w:r>
        <w:rPr>
          <w:rFonts w:ascii="Times New Roman;Times;serif" w:hAnsi="Times New Roman;Times;serif"/>
          <w:sz w:val="20"/>
        </w:rPr>
        <w:t>million.</w:t>
      </w:r>
      <w:r>
        <w:rPr>
          <w:rFonts w:ascii="Times New Roman;Times;serif" w:hAnsi="Times New Roman;Times;serif"/>
          <w:sz w:val="24"/>
        </w:rPr>
        <w:t xml:space="preserve"> </w:t>
      </w:r>
      <w:r>
        <w:rPr>
          <w:rFonts w:ascii="Times New Roman;Times;serif" w:hAnsi="Times New Roman;Times;serif"/>
          <w:sz w:val="20"/>
        </w:rPr>
        <w:t>The measurement period adjustments did not have a significant impact on the consolidated statement of operations. The measurement period ended in September 2025, and no further purchase price adjustments have been recorded since.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2025, we (through our Security Division) acquired a privately held provider of engineering and structural component services for approximately $1.3 million, plus up to $0.9 million in potential contingent consideration. The acquisition was financed with cash on hand. The goodwill recognized for this business acquisition is not deductible for income tax purposes.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Fiscal Year 2024 Business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2023, we (through our Optoelectronics and Manufacturing division) acquired a privately held contract manufacturer for approximately $6.3 million. The acquisition was financed with cash on hand. The goodwill recognized for this business acquisition is deductible for income tax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October 2023, we (through our Security division) acquired a privately held provider of radiation detection technology for approximately $2.8 million, plus up to $3.6 million in potential contingent consideration. The acquisition was financed with cash on hand. The goodwill recognized for this business acquisition is not deductible for income tax purposes. </w:t>
      </w:r>
    </w:p>
    <w:p>
      <w:pPr>
        <w:pStyle w:val="TextBody"/>
        <w:bidi w:val="0"/>
        <w:spacing w:before="0" w:after="0"/>
        <w:ind w:left="0" w:right="0" w:hanging="0"/>
        <w:jc w:val="left"/>
        <w:rPr>
          <w:rFonts w:ascii="Times New Roman;Times;serif" w:hAnsi="Times New Roman;Times;serif"/>
          <w:sz w:val="20"/>
        </w:rPr>
      </w:pPr>
      <w:bookmarkStart w:id="753" w:name="Tc_i9NbNm3PzUSuIznJ7_S9nQ_6_5"/>
      <w:bookmarkStart w:id="754" w:name="Tc_m3KPxAJs70232vN25qi_kQ_6_2"/>
      <w:bookmarkStart w:id="755" w:name="Tc_YxiiWu760UWzZZoZ5ZfZzw_6_0"/>
      <w:bookmarkStart w:id="756" w:name="Tc_MVm2wgLTBU-PFqwtcctgxQ_5_0"/>
      <w:bookmarkStart w:id="757" w:name="Tc_yPpJqOODf06nSj0opppRQA_4_0"/>
      <w:bookmarkStart w:id="758" w:name="Tc_ZGx_DM2w4kSl5OvAmRWCOQ_3_5"/>
      <w:bookmarkStart w:id="759" w:name="Tc_q_Nwh_tDAUWgmJLfVLiFHQ_3_2"/>
      <w:bookmarkStart w:id="760" w:name="Tc_60DGjpKDZk-30cmWyVVnVg_3_0"/>
      <w:bookmarkStart w:id="761" w:name="Tc_Hek5nFk3skWX7X_q3wWsUA_2_5"/>
      <w:bookmarkStart w:id="762" w:name="Tc_jbnjWhvG4kGybOwlCZmeIA_2_2"/>
      <w:bookmarkStart w:id="763" w:name="Tc_9mpmzoErbUe8Y64B82-Iqw_2_0"/>
      <w:bookmarkStart w:id="764" w:name="Tc_JAzEfc76Q0Kbf7uEi8Iffg_1_2"/>
      <w:bookmarkStart w:id="765" w:name="_a1648a93_d22a_4d5f_b317_96e62c350871"/>
      <w:bookmarkStart w:id="766" w:name="Tc_p28qImgA50W3SKq_0Mf9KQ_5_5"/>
      <w:bookmarkStart w:id="767" w:name="Tc_PD02AZI7CUOUf583MvBbKQ_5_2"/>
      <w:bookmarkStart w:id="768" w:name="Tc_XbG5X6oS9UeJAu35bpKGKA_5_0"/>
      <w:bookmarkStart w:id="769" w:name="Tc_uHC-qop3q0K1RTUYH5T-TQ_4_0"/>
      <w:bookmarkStart w:id="770" w:name="Tc_JDcdVRD4F0y_D8FKrvH0wA_3_5"/>
      <w:bookmarkStart w:id="771" w:name="Tc_5NeVs-sreUeYbhFFhz6tCQ_3_2"/>
      <w:bookmarkStart w:id="772" w:name="Tc_6cpvHElqtkK9Y6hwZKeWvA_3_0"/>
      <w:bookmarkStart w:id="773" w:name="Tc_7Ss_VevUgkWTkxcBXi161A_2_5"/>
      <w:bookmarkStart w:id="774" w:name="Tc_8ZqzmtKoMkiOyiKYlBC-3A_2_2"/>
      <w:bookmarkStart w:id="775" w:name="Tc_Fc_uPSY65EudroPyWWv-1w_2_0"/>
      <w:bookmarkStart w:id="776" w:name="Tc_Io9AWvejv0WBxbUprG-sCw_1_2"/>
      <w:bookmarkStart w:id="777" w:name="_1108b4a6_6e61_4545_949f_4ee6eed963eb"/>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r>
        <w:rPr>
          <w:rFonts w:ascii="Times New Roman;Times;serif" w:hAnsi="Times New Roman;Times;serif"/>
          <w:b/>
          <w:i w:val="false"/>
          <w:caps w:val="false"/>
          <w:smallCaps w:val="false"/>
          <w:sz w:val="20"/>
        </w:rPr>
        <w:t>3.</w:t>
      </w:r>
      <w:r>
        <w:rPr>
          <w:rFonts w:ascii="Times New Roman;Times;serif" w:hAnsi="Times New Roman;Times;serif"/>
          <w:b/>
          <w:sz w:val="20"/>
        </w:rPr>
        <w:t>BALANCE SHEET DETAILS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provide details of selected balance sheet accounts (in thousands):</w:t>
      </w:r>
    </w:p>
    <w:p>
      <w:pPr>
        <w:pStyle w:val="TextBody"/>
        <w:bidi w:val="0"/>
        <w:spacing w:before="0" w:after="0"/>
        <w:ind w:left="0" w:right="0" w:hanging="0"/>
        <w:jc w:val="both"/>
        <w:rPr/>
      </w:pPr>
      <w:r>
        <w:rPr/>
        <w:t>​</w:t>
      </w:r>
    </w:p>
    <w:tbl>
      <w:tblPr>
        <w:tblW w:w="5932" w:type="dxa"/>
        <w:jc w:val="left"/>
        <w:tblInd w:w="0" w:type="dxa"/>
        <w:tblLayout w:type="fixed"/>
        <w:tblCellMar>
          <w:top w:w="0" w:type="dxa"/>
          <w:left w:w="0" w:type="dxa"/>
          <w:bottom w:w="0" w:type="dxa"/>
          <w:right w:w="0" w:type="dxa"/>
        </w:tblCellMar>
      </w:tblPr>
      <w:tblGrid>
        <w:gridCol w:w="3136"/>
        <w:gridCol w:w="346"/>
        <w:gridCol w:w="211"/>
        <w:gridCol w:w="796"/>
        <w:gridCol w:w="346"/>
        <w:gridCol w:w="211"/>
        <w:gridCol w:w="88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991360" cy="175260"/>
                      <wp:effectExtent l="0" t="0" r="0" b="0"/>
                      <wp:wrapNone/>
                      <wp:docPr id="251" name="Frame249"/>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2"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3"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05460" cy="175260"/>
                      <wp:effectExtent l="0" t="0" r="0" b="0"/>
                      <wp:wrapNone/>
                      <wp:docPr id="254" name="Frame2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5"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6"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62610" cy="175260"/>
                      <wp:effectExtent l="0" t="0" r="0" b="0"/>
                      <wp:wrapNone/>
                      <wp:docPr id="257" name="Frame2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Accounts receivable, net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785,505</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doubtful accounts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(20,879)</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764,626</w:t>
            </w:r>
          </w:p>
        </w:tc>
      </w:tr>
    </w:tbl>
    <w:p>
      <w:pPr>
        <w:pStyle w:val="TextBody"/>
        <w:bidi w:val="0"/>
        <w:spacing w:before="0" w:after="0"/>
        <w:ind w:left="0" w:right="0" w:hanging="0"/>
        <w:jc w:val="both"/>
        <w:rPr/>
      </w:pPr>
      <w:r>
        <w:rPr/>
        <w:t>​</w:t>
      </w:r>
    </w:p>
    <w:tbl>
      <w:tblPr>
        <w:tblW w:w="4237" w:type="dxa"/>
        <w:jc w:val="left"/>
        <w:tblInd w:w="0" w:type="dxa"/>
        <w:tblLayout w:type="fixed"/>
        <w:tblCellMar>
          <w:top w:w="0" w:type="dxa"/>
          <w:left w:w="0" w:type="dxa"/>
          <w:bottom w:w="0" w:type="dxa"/>
          <w:right w:w="0" w:type="dxa"/>
        </w:tblCellMar>
      </w:tblPr>
      <w:tblGrid>
        <w:gridCol w:w="1456"/>
        <w:gridCol w:w="346"/>
        <w:gridCol w:w="211"/>
        <w:gridCol w:w="781"/>
        <w:gridCol w:w="346"/>
        <w:gridCol w:w="211"/>
        <w:gridCol w:w="88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924560" cy="175260"/>
                      <wp:effectExtent l="0" t="0" r="0" b="0"/>
                      <wp:wrapNone/>
                      <wp:docPr id="258" name="Frame25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59"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0"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1"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2"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Inventories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261,624</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77,309</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76,629</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415,562</w:t>
            </w:r>
          </w:p>
        </w:tc>
      </w:tr>
    </w:tbl>
    <w:p>
      <w:pPr>
        <w:pStyle w:val="TextBody"/>
        <w:bidi w:val="0"/>
        <w:spacing w:before="0" w:after="0"/>
        <w:ind w:left="0" w:right="0" w:firstLine="72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Normal"/>
        <w:bidi w:val="0"/>
        <w:spacing w:before="0" w:after="0"/>
        <w:jc w:val="left"/>
        <w:rPr>
          <w:sz w:val="4"/>
          <w:szCs w:val="4"/>
        </w:rPr>
      </w:pPr>
      <w:r>
        <w:rPr>
          <w:sz w:val="4"/>
          <w:szCs w:val="4"/>
        </w:rPr>
      </w:r>
      <w:bookmarkStart w:id="778" w:name="Tc_LLJDg6qErUiM7Nz40PEMJA_14_7"/>
      <w:bookmarkStart w:id="779" w:name="Tc_AsCtHbEATUukX18dOaxcXA_14_4"/>
      <w:bookmarkStart w:id="780" w:name="Tc_b1cBP4nmkUCKslJvLB0ZoA_14_0"/>
      <w:bookmarkStart w:id="781" w:name="Tc_VrW3F4qEtUKbXCY-CC44SA_13_0"/>
      <w:bookmarkStart w:id="782" w:name="Tc_gyIYd65NNE6TpKzCwncaKA_12_0"/>
      <w:bookmarkStart w:id="783" w:name="Tc_QAB_guVutUmbNljjWhnleQ_11_2"/>
      <w:bookmarkStart w:id="784" w:name="Tc_mdvK40syGUaH7sdUZBAmLg_11_0"/>
      <w:bookmarkStart w:id="785" w:name="Tc_aWpyROGOuUaaC9DOAa12TQ_10_2"/>
      <w:bookmarkStart w:id="786" w:name="Tc_ICst4evXjEe-y-WqhTsYGg_10_0"/>
      <w:bookmarkStart w:id="787" w:name="Tc_CZdlYYnAx0-jnxqsxkGRFA_9_2"/>
      <w:bookmarkStart w:id="788" w:name="Tc_KrEZpi1ubkC05xI1uqskRQ_9_0"/>
      <w:bookmarkStart w:id="789" w:name="Tc_E8hFaNj0-USI58eYOU9okw_8_2"/>
      <w:bookmarkStart w:id="790" w:name="Tc_f-F_8iV5MkaDzPJi5QcvDQ_8_0"/>
      <w:bookmarkStart w:id="791" w:name="Tc_a0-M5JuQKkup12UDmYcRyA_7_2"/>
      <w:bookmarkStart w:id="792" w:name="Tc_mASnBGEBMkOecUat-0G0YQ_7_0"/>
      <w:bookmarkStart w:id="793" w:name="Tc_3Vrj_GqvpE6Hpx3mvOI_XA_6_2"/>
      <w:bookmarkStart w:id="794" w:name="Tc_muw2sRgY9kG7yXLgLYP9YQ_6_0"/>
      <w:bookmarkStart w:id="795" w:name="Tc_ukd0DtlrYU2o6MNrJ_cxfg_5_2"/>
      <w:bookmarkStart w:id="796" w:name="Tc_VNBxfAVG2UGDWUq7Nw8gHw_5_0"/>
      <w:bookmarkStart w:id="797" w:name="Tc_jbXAhf73vEy_vmV4q3vQeA_4_7"/>
      <w:bookmarkStart w:id="798" w:name="Tc_Rrn3WWoU8UWZpOsaFCzf6A_4_4"/>
      <w:bookmarkStart w:id="799" w:name="Tc_b2jA6oOxZUyvI_KiikFbpg_4_2"/>
      <w:bookmarkStart w:id="800" w:name="Tc_hNdcGIjXDUmOOlVwu1RmHw_4_0"/>
      <w:bookmarkStart w:id="801" w:name="Tc_7Fd6VftKRU-NYxxfN6ONjA_3_7"/>
      <w:bookmarkStart w:id="802" w:name="Tc_5DL6wQAxCUKnXnyG6UATDA_3_4"/>
      <w:bookmarkStart w:id="803" w:name="Tc_58Ybb2Ge10SqzpDmEXw2ww_3_2"/>
      <w:bookmarkStart w:id="804" w:name="Tc_vemgmJJNRU6H2PoKVYs9rg_3_0"/>
      <w:bookmarkStart w:id="805" w:name="Tc_GNR52kjaUUGM4CkiR32ajA_2_4"/>
      <w:bookmarkStart w:id="806" w:name="Tc_2A7S9iRfv0uaeRkxyjRwhg_2_2"/>
      <w:bookmarkStart w:id="807" w:name="Tc_oM9qjziXXE2itZYp7a-5cA_1_2"/>
      <w:bookmarkStart w:id="808" w:name="_bb01409e_18a7_4465_a667_85472a7fe111"/>
      <w:bookmarkStart w:id="809" w:name="Tc_LLJDg6qErUiM7Nz40PEMJA_14_7"/>
      <w:bookmarkStart w:id="810" w:name="Tc_AsCtHbEATUukX18dOaxcXA_14_4"/>
      <w:bookmarkStart w:id="811" w:name="Tc_b1cBP4nmkUCKslJvLB0ZoA_14_0"/>
      <w:bookmarkStart w:id="812" w:name="Tc_VrW3F4qEtUKbXCY-CC44SA_13_0"/>
      <w:bookmarkStart w:id="813" w:name="Tc_gyIYd65NNE6TpKzCwncaKA_12_0"/>
      <w:bookmarkStart w:id="814" w:name="Tc_QAB_guVutUmbNljjWhnleQ_11_2"/>
      <w:bookmarkStart w:id="815" w:name="Tc_mdvK40syGUaH7sdUZBAmLg_11_0"/>
      <w:bookmarkStart w:id="816" w:name="Tc_aWpyROGOuUaaC9DOAa12TQ_10_2"/>
      <w:bookmarkStart w:id="817" w:name="Tc_ICst4evXjEe-y-WqhTsYGg_10_0"/>
      <w:bookmarkStart w:id="818" w:name="Tc_CZdlYYnAx0-jnxqsxkGRFA_9_2"/>
      <w:bookmarkStart w:id="819" w:name="Tc_KrEZpi1ubkC05xI1uqskRQ_9_0"/>
      <w:bookmarkStart w:id="820" w:name="Tc_E8hFaNj0-USI58eYOU9okw_8_2"/>
      <w:bookmarkStart w:id="821" w:name="Tc_f-F_8iV5MkaDzPJi5QcvDQ_8_0"/>
      <w:bookmarkStart w:id="822" w:name="Tc_a0-M5JuQKkup12UDmYcRyA_7_2"/>
      <w:bookmarkStart w:id="823" w:name="Tc_mASnBGEBMkOecUat-0G0YQ_7_0"/>
      <w:bookmarkStart w:id="824" w:name="Tc_3Vrj_GqvpE6Hpx3mvOI_XA_6_2"/>
      <w:bookmarkStart w:id="825" w:name="Tc_muw2sRgY9kG7yXLgLYP9YQ_6_0"/>
      <w:bookmarkStart w:id="826" w:name="Tc_ukd0DtlrYU2o6MNrJ_cxfg_5_2"/>
      <w:bookmarkStart w:id="827" w:name="Tc_VNBxfAVG2UGDWUq7Nw8gHw_5_0"/>
      <w:bookmarkStart w:id="828" w:name="Tc_jbXAhf73vEy_vmV4q3vQeA_4_7"/>
      <w:bookmarkStart w:id="829" w:name="Tc_Rrn3WWoU8UWZpOsaFCzf6A_4_4"/>
      <w:bookmarkStart w:id="830" w:name="Tc_b2jA6oOxZUyvI_KiikFbpg_4_2"/>
      <w:bookmarkStart w:id="831" w:name="Tc_hNdcGIjXDUmOOlVwu1RmHw_4_0"/>
      <w:bookmarkStart w:id="832" w:name="Tc_7Fd6VftKRU-NYxxfN6ONjA_3_7"/>
      <w:bookmarkStart w:id="833" w:name="Tc_5DL6wQAxCUKnXnyG6UATDA_3_4"/>
      <w:bookmarkStart w:id="834" w:name="Tc_58Ybb2Ge10SqzpDmEXw2ww_3_2"/>
      <w:bookmarkStart w:id="835" w:name="Tc_vemgmJJNRU6H2PoKVYs9rg_3_0"/>
      <w:bookmarkStart w:id="836" w:name="Tc_GNR52kjaUUGM4CkiR32ajA_2_4"/>
      <w:bookmarkStart w:id="837" w:name="Tc_2A7S9iRfv0uaeRkxyjRwhg_2_2"/>
      <w:bookmarkStart w:id="838" w:name="Tc_oM9qjziXXE2itZYp7a-5cA_1_2"/>
      <w:bookmarkStart w:id="839" w:name="_bb01409e_18a7_4465_a667_85472a7fe111"/>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tbl>
      <w:tblPr>
        <w:tblW w:w="8319" w:type="dxa"/>
        <w:jc w:val="left"/>
        <w:tblInd w:w="0" w:type="dxa"/>
        <w:tblLayout w:type="fixed"/>
        <w:tblCellMar>
          <w:top w:w="0" w:type="dxa"/>
          <w:left w:w="0" w:type="dxa"/>
          <w:bottom w:w="0" w:type="dxa"/>
          <w:right w:w="0" w:type="dxa"/>
        </w:tblCellMar>
      </w:tblPr>
      <w:tblGrid>
        <w:gridCol w:w="4051"/>
        <w:gridCol w:w="346"/>
        <w:gridCol w:w="961"/>
        <w:gridCol w:w="346"/>
        <w:gridCol w:w="211"/>
        <w:gridCol w:w="901"/>
        <w:gridCol w:w="346"/>
        <w:gridCol w:w="211"/>
        <w:gridCol w:w="94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572385" cy="175260"/>
                      <wp:effectExtent l="0" t="0" r="0" b="0"/>
                      <wp:wrapNone/>
                      <wp:docPr id="263" name="Frame261"/>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4"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10235" cy="175260"/>
                      <wp:effectExtent l="0" t="0" r="0" b="0"/>
                      <wp:wrapNone/>
                      <wp:docPr id="265" name="Frame26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6"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7"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72135" cy="175260"/>
                      <wp:effectExtent l="0" t="0" r="0" b="0"/>
                      <wp:wrapNone/>
                      <wp:docPr id="268" name="Frame2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69"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0"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00710" cy="175260"/>
                      <wp:effectExtent l="0" t="0" r="0" b="0"/>
                      <wp:wrapNone/>
                      <wp:docPr id="271" name="Frame26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Property and equipment, net</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Lives</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civil works and improvements</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4-40</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3-20</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15,389</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tooling, furniture and fixtures</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3-13</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159,948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3-5</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3-10</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 implementation in process</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321,560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(191,618)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129,942</w:t>
            </w:r>
          </w:p>
        </w:tc>
      </w:tr>
    </w:tbl>
    <w:p>
      <w:pPr>
        <w:pStyle w:val="TextBody"/>
        <w:bidi w:val="0"/>
        <w:spacing w:before="0" w:after="0"/>
        <w:ind w:left="0" w:right="0" w:firstLine="720"/>
        <w:jc w:val="both"/>
        <w:rPr>
          <w:shd w:fill="FFFF00" w:val="clear"/>
        </w:rPr>
      </w:pPr>
      <w:r>
        <w:rPr>
          <w:shd w:fill="FFFF00" w:val="clea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During fiscal 2024, 2025 and 2026, depreciation expense was approximately $19.4 million, $22.0 million and $21.3 million, respectively.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accrued expenses and current liabilities included accrued project costs of approximately $21.6 million and $40.1 million as of June 30, 2025 and 2026, respectively. Accrued project costs primarily consist of subcontractor, engineering, materials, installation and other direct costs incurred in fulfilling customer contracts that had not yet been paid as of the end of the period.</w:t>
      </w:r>
    </w:p>
    <w:p>
      <w:pPr>
        <w:pStyle w:val="TextBody"/>
        <w:bidi w:val="0"/>
        <w:spacing w:before="0" w:after="0"/>
        <w:ind w:left="0" w:right="0" w:firstLine="720"/>
        <w:jc w:val="both"/>
        <w:rPr/>
      </w:pPr>
      <w:r>
        <w:rPr/>
        <w:t>​</w:t>
      </w:r>
    </w:p>
    <w:p>
      <w:pPr>
        <w:pStyle w:val="TextBody"/>
        <w:bidi w:val="0"/>
        <w:spacing w:before="0" w:after="200"/>
        <w:ind w:left="0" w:right="0" w:hanging="0"/>
        <w:jc w:val="left"/>
        <w:rPr>
          <w:rFonts w:ascii="Times New Roman;Times;serif" w:hAnsi="Times New Roman;Times;serif"/>
          <w:sz w:val="20"/>
        </w:rPr>
      </w:pPr>
      <w:bookmarkStart w:id="840" w:name="Tc_Jsrn3IKp20ePPRcRqBEu-g_11_11"/>
      <w:bookmarkStart w:id="841" w:name="Tc_alF2ir7d_kagHUVgV9EE9g_11_8"/>
      <w:bookmarkStart w:id="842" w:name="Tc_euLC5tjq-UioACYf7IlD_Q_11_5"/>
      <w:bookmarkStart w:id="843" w:name="Tc_XMFvCl9F70-gZOMDUtjMdA_11_2"/>
      <w:bookmarkStart w:id="844" w:name="Tc_4qSwku0_b0-HCcFn3FxAhw_11_0"/>
      <w:bookmarkStart w:id="845" w:name="Tc_fRfRe1lxU0OcyTZaHN8gFw_10_0"/>
      <w:bookmarkStart w:id="846" w:name="Tc_W63PxP8FvkaZpVHXyVPhKQ_9_9"/>
      <w:bookmarkStart w:id="847" w:name="Tc_fjVXjn_AwUiKbm3zZnnurw_9_6"/>
      <w:bookmarkStart w:id="848" w:name="Tc_hsNhPNNkSE6s16oohMUS0A_9_0"/>
      <w:bookmarkStart w:id="849" w:name="Tc_NEgOmQOv8kaNTrznhwBHnQ_8_11"/>
      <w:bookmarkStart w:id="850" w:name="Tc_Xw0FCuTOmkqhCQ8gRRuiMg_8_8"/>
      <w:bookmarkStart w:id="851" w:name="Tc_4wRiCPFEFUqCsx4aNxK0Jw_8_5"/>
      <w:bookmarkStart w:id="852" w:name="Tc_oE65HFJYCEGNIy6ywk06Pg_8_2"/>
      <w:bookmarkStart w:id="853" w:name="Tc_kZcYtRyCk0mAwR-YStk13g_8_0"/>
      <w:bookmarkStart w:id="854" w:name="Tc_oKLDHg0QoUWFXoaIcqoCiA_7_0"/>
      <w:bookmarkStart w:id="855" w:name="Tc_JWUB6Dk-dUWPjYebtRwYgQ_6_9"/>
      <w:bookmarkStart w:id="856" w:name="Tc_c-t0_UcDP0mx76OavpBACg_6_6"/>
      <w:bookmarkStart w:id="857" w:name="Tc_7C-ghiQjjE2p32ajQ6wfUA_6_0"/>
      <w:bookmarkStart w:id="858" w:name="Tc_oCo0PrVrZkqXtyZGUqxi3g_5_11"/>
      <w:bookmarkStart w:id="859" w:name="Tc_n1LAwGPrG0i5vKzi034kEg_5_8"/>
      <w:bookmarkStart w:id="860" w:name="Tc_YndwXWwlg0adWWEfflQvbQ_5_5"/>
      <w:bookmarkStart w:id="861" w:name="Tc_yGnQ237ACEOMPZOeD_F8fg_5_2"/>
      <w:bookmarkStart w:id="862" w:name="Tc_gXQBaGCBVE6oqEte30JYPg_5_0"/>
      <w:bookmarkStart w:id="863" w:name="Tc_WdNqD6b2OUOLpSNQpoCBlg_4_11"/>
      <w:bookmarkStart w:id="864" w:name="Tc_V7WHrUojeke5qqENeH_zGw_4_8"/>
      <w:bookmarkStart w:id="865" w:name="Tc_Ij3z7Pvof0O3QiKF9KNu6Q_4_5"/>
      <w:bookmarkStart w:id="866" w:name="Tc_jpnlplo0MkaZ1_kCN5gnEA_4_2"/>
      <w:bookmarkStart w:id="867" w:name="Tc_8cC83rdWyEShXUAqVCU3pQ_3_8"/>
      <w:bookmarkStart w:id="868" w:name="Tc_1QvzJsgxk0yLRA4cQt8S6w_3_5"/>
      <w:bookmarkStart w:id="869" w:name="Tc_hAL_vKASLEm85etA3lDHYQ_3_2"/>
      <w:bookmarkStart w:id="870" w:name="Tc_Xk-qDT-UpkuZxVoVQ93XPA_2_5"/>
      <w:bookmarkStart w:id="871" w:name="Tc_AEakepSqRUK8AQx4wNaZfw_1_5"/>
      <w:bookmarkStart w:id="872" w:name="_9ed3f16b_273d_4463_a277_d385e49c961e"/>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i w:val="false"/>
          <w:caps w:val="false"/>
          <w:smallCaps w:val="false"/>
          <w:sz w:val="20"/>
        </w:rPr>
        <w:t>4.</w:t>
      </w:r>
      <w:r>
        <w:rPr>
          <w:rFonts w:ascii="Times New Roman;Times;serif" w:hAnsi="Times New Roman;Times;serif"/>
          <w:b/>
          <w:sz w:val="20"/>
        </w:rPr>
        <w:t>GOODWILL AND INTANGIBLE ASSETS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changes in the carrying amount of goodwill by segment for fiscal 2025 and 2026 are as follows (in thousands):</w:t>
      </w:r>
    </w:p>
    <w:p>
      <w:pPr>
        <w:pStyle w:val="TextBody"/>
        <w:bidi w:val="0"/>
        <w:spacing w:before="0" w:after="0"/>
        <w:ind w:left="0" w:right="0" w:firstLine="720"/>
        <w:jc w:val="both"/>
        <w:rPr/>
      </w:pPr>
      <w:r>
        <w:rPr/>
        <w:t>​</w:t>
      </w:r>
    </w:p>
    <w:tbl>
      <w:tblPr>
        <w:tblW w:w="9671" w:type="dxa"/>
        <w:jc w:val="left"/>
        <w:tblInd w:w="0" w:type="dxa"/>
        <w:tblLayout w:type="fixed"/>
        <w:tblCellMar>
          <w:top w:w="0" w:type="dxa"/>
          <w:left w:w="0" w:type="dxa"/>
          <w:bottom w:w="0" w:type="dxa"/>
          <w:right w:w="0" w:type="dxa"/>
        </w:tblCellMar>
      </w:tblPr>
      <w:tblGrid>
        <w:gridCol w:w="4036"/>
        <w:gridCol w:w="346"/>
        <w:gridCol w:w="211"/>
        <w:gridCol w:w="781"/>
        <w:gridCol w:w="346"/>
        <w:gridCol w:w="296"/>
        <w:gridCol w:w="950"/>
        <w:gridCol w:w="346"/>
        <w:gridCol w:w="217"/>
        <w:gridCol w:w="699"/>
        <w:gridCol w:w="346"/>
        <w:gridCol w:w="211"/>
        <w:gridCol w:w="88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562860" cy="175260"/>
                      <wp:effectExtent l="0" t="0" r="0" b="0"/>
                      <wp:wrapNone/>
                      <wp:docPr id="272" name="Frame270"/>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3"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4"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95935" cy="175260"/>
                      <wp:effectExtent l="0" t="0" r="0" b="0"/>
                      <wp:wrapNone/>
                      <wp:docPr id="275" name="Frame2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6"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7960" cy="175260"/>
                      <wp:effectExtent l="0" t="0" r="0" b="0"/>
                      <wp:wrapNone/>
                      <wp:docPr id="277" name="Frame275"/>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03250" cy="175260"/>
                      <wp:effectExtent l="0" t="0" r="0" b="0"/>
                      <wp:wrapNone/>
                      <wp:docPr id="278" name="Frame27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9"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7795" cy="175260"/>
                      <wp:effectExtent l="0" t="0" r="0" b="0"/>
                      <wp:wrapNone/>
                      <wp:docPr id="280" name="Frame27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43865" cy="175260"/>
                      <wp:effectExtent l="0" t="0" r="0" b="0"/>
                      <wp:wrapNone/>
                      <wp:docPr id="281" name="Frame279"/>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2"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3"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62610" cy="175260"/>
                      <wp:effectExtent l="0" t="0" r="0" b="0"/>
                      <wp:wrapNone/>
                      <wp:docPr id="284" name="Frame28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Optoelectronics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Security</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Healthcare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232,215</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70,807</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351,480</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acquired or adjusted during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33,804</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33,804</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266,365</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72,323</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387,393</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acquired or adjusted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20,548</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20,548</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286,918</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71,166</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406,677</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873" w:name="Tc_ofL6EdWnL0GuG9mLKSdU2w_7_2"/>
      <w:bookmarkStart w:id="874" w:name="Tc_6JEf3K2peUW76ZsxZsldHg_7_0"/>
      <w:bookmarkStart w:id="875" w:name="Tc_tSj13pvM9k-8LHyuVs5bEg_6_0"/>
      <w:bookmarkStart w:id="876" w:name="Tc_d2XTZLdb8E-s58uiSuhgcA_5_0"/>
      <w:bookmarkStart w:id="877" w:name="Tc_8X00VH9oJ06HMJ3s99n03g_4_0"/>
      <w:bookmarkStart w:id="878" w:name="Tc_v7tVlAcahkSthicg8kMupw_3_0"/>
      <w:bookmarkStart w:id="879" w:name="Tc_3xHRQepUB0KRKxbkZw30VA_2_0"/>
      <w:bookmarkStart w:id="880" w:name="Tc_GZ1GF33kl0urQDzmnWr1yA_1_2"/>
      <w:bookmarkStart w:id="881" w:name="Tc_JDcAcyCEE0C6bCyQUVPZKg_1_0"/>
      <w:bookmarkStart w:id="882" w:name="_2e6f2548_0491_4684_a848_aec8bcdf2128"/>
      <w:bookmarkStart w:id="883" w:name="Tc_Jh3dJMusI0i01xE5pqVavA_13_19"/>
      <w:bookmarkStart w:id="884" w:name="Tc_zka56km43UmFjRyz-gAJ6g_13_16"/>
      <w:bookmarkStart w:id="885" w:name="Tc_4DHyUvFLzkS_LZqsgiCCwA_13_13"/>
      <w:bookmarkStart w:id="886" w:name="Tc_9JH-i743iEOSH_46DAEmYQ_13_10"/>
      <w:bookmarkStart w:id="887" w:name="Tc_mFXfvL4txk66-lyImOt-dw_13_7"/>
      <w:bookmarkStart w:id="888" w:name="Tc_A0WTwwq-BUC0LlmkLHggyg_13_4"/>
      <w:bookmarkStart w:id="889" w:name="Tc_NBs2u0tiYEGAkUHd3gt4Bg_13_0"/>
      <w:bookmarkStart w:id="890" w:name="Tc_kIgYWJW8kU6TRJsvDx_EBA_12_17"/>
      <w:bookmarkStart w:id="891" w:name="Tc_U3Juu21ab0eq8INZyHXM6w_12_8"/>
      <w:bookmarkStart w:id="892" w:name="Tc_OtvQEWzmXUexaMcMQcjBwA_12_0"/>
      <w:bookmarkStart w:id="893" w:name="Tc_VxgycsbJOk26fvxKse-U8Q_11_0"/>
      <w:bookmarkStart w:id="894" w:name="Tc_7ujR_93pyEe3qwLgf8dCwg_10_0"/>
      <w:bookmarkStart w:id="895" w:name="Tc_xAqn1vlEa0yBLGMFL4Cb6w_9_0"/>
      <w:bookmarkStart w:id="896" w:name="Tc_MLwUG9Fd5kqUb2UjRAFyNQ_8_0"/>
      <w:bookmarkStart w:id="897" w:name="Tc_8GR7wYVq0E-1lJvo0yk1tA_7_0"/>
      <w:bookmarkStart w:id="898" w:name="Tc_7b0hS2djLUWhINbUhexu-A_6_19"/>
      <w:bookmarkStart w:id="899" w:name="Tc_pKP5iaTMV0OtoEen0hs1tw_6_16"/>
      <w:bookmarkStart w:id="900" w:name="Tc_84SUsrSA-UqTI8AwwJZV1Q_6_13"/>
      <w:bookmarkStart w:id="901" w:name="Tc_XATITr8_2UesUoLMgxU2gA_6_10"/>
      <w:bookmarkStart w:id="902" w:name="Tc_wFUC1EMnEUimuNfmOtLi-w_6_7"/>
      <w:bookmarkStart w:id="903" w:name="Tc_10bB0vCZtEeLalsr2WDK4g_6_4"/>
      <w:bookmarkStart w:id="904" w:name="Tc_Et5JG6YxCkSMr-a--9QFhw_6_0"/>
      <w:bookmarkStart w:id="905" w:name="Tc_C4sG24dOsEqv0IJYP0TLJQ_5_0"/>
      <w:bookmarkStart w:id="906" w:name="Tc_oOED43MoNE6YLprobSOkuQ_4_19"/>
      <w:bookmarkStart w:id="907" w:name="Tc_cT6z11-FfUun7SItimC22g_4_16"/>
      <w:bookmarkStart w:id="908" w:name="Tc_MVYNc7pjHECSemAzaV29WA_4_13"/>
      <w:bookmarkStart w:id="909" w:name="Tc_8J2ZC7CYn0-K3NJQ9PPMsQ_4_10"/>
      <w:bookmarkStart w:id="910" w:name="Tc_L1q_xSS2VEOR2TZnIb3j1w_4_7"/>
      <w:bookmarkStart w:id="911" w:name="Tc_nRaNzuE-F0iEsH_wKW4qFA_4_4"/>
      <w:bookmarkStart w:id="912" w:name="Tc_4pZ0HlDwe0Od_Een8dLDWw_4_2"/>
      <w:bookmarkStart w:id="913" w:name="Tc_HyphHbLhS0uXMESJPlmkcQ_3_19"/>
      <w:bookmarkStart w:id="914" w:name="Tc_B0KrqUupSEuw4BP6S9gQZw_3_16"/>
      <w:bookmarkStart w:id="915" w:name="Tc_Je9O2VT1L06UaJqZyZ5BUg_3_13"/>
      <w:bookmarkStart w:id="916" w:name="Tc_yexzWa9ndEe4xJIb_Is7XA_3_10"/>
      <w:bookmarkStart w:id="917" w:name="Tc_sr6RtqN3o0qYmZ-v_BGYhA_3_7"/>
      <w:bookmarkStart w:id="918" w:name="Tc_hiEygjuG10qPB1WDP78lsA_3_4"/>
      <w:bookmarkStart w:id="919" w:name="Tc_uhXsjKcoNke0I5fxTUUQfg_3_2"/>
      <w:bookmarkStart w:id="920" w:name="Tc_JMGldd-cQ0S2_KE5MMNgFA_2_13"/>
      <w:bookmarkStart w:id="921" w:name="Tc_P4c99xRv50S5IPZicKROmw_2_4"/>
      <w:bookmarkStart w:id="922" w:name="Tc_cN75fSFYmEmE4mFS-1e1Bg_2_2"/>
      <w:bookmarkStart w:id="923" w:name="Tc_Wl1wcPGYI0iu9FRqql4Hyg_1_13"/>
      <w:bookmarkStart w:id="924" w:name="Tc_-O7wdb0Ztk23cdfGuqdfRw_1_4"/>
      <w:bookmarkStart w:id="925" w:name="_55062f03_db71_4ff7_a974_3a42fb0526fa"/>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r>
        <w:rPr>
          <w:rFonts w:ascii="Times New Roman;Times;serif" w:hAnsi="Times New Roman;Times;serif"/>
          <w:sz w:val="20"/>
        </w:rPr>
        <w:t>Intangible assets consisted of the following (dollar amounts in thousands):</w:t>
      </w:r>
    </w:p>
    <w:p>
      <w:pPr>
        <w:pStyle w:val="TextBody"/>
        <w:bidi w:val="0"/>
        <w:spacing w:before="0" w:after="0"/>
        <w:ind w:left="0" w:right="0" w:firstLine="720"/>
        <w:jc w:val="both"/>
        <w:rPr/>
      </w:pPr>
      <w:r>
        <w:rPr/>
        <w:t>​</w:t>
      </w:r>
    </w:p>
    <w:tbl>
      <w:tblPr>
        <w:tblW w:w="10939" w:type="dxa"/>
        <w:jc w:val="left"/>
        <w:tblInd w:w="0" w:type="dxa"/>
        <w:tblLayout w:type="fixed"/>
        <w:tblCellMar>
          <w:top w:w="0" w:type="dxa"/>
          <w:left w:w="0" w:type="dxa"/>
          <w:bottom w:w="0" w:type="dxa"/>
          <w:right w:w="0" w:type="dxa"/>
        </w:tblCellMar>
      </w:tblPr>
      <w:tblGrid>
        <w:gridCol w:w="1486"/>
        <w:gridCol w:w="346"/>
        <w:gridCol w:w="796"/>
        <w:gridCol w:w="346"/>
        <w:gridCol w:w="211"/>
        <w:gridCol w:w="781"/>
        <w:gridCol w:w="346"/>
        <w:gridCol w:w="240"/>
        <w:gridCol w:w="841"/>
        <w:gridCol w:w="346"/>
        <w:gridCol w:w="211"/>
        <w:gridCol w:w="781"/>
        <w:gridCol w:w="346"/>
        <w:gridCol w:w="211"/>
        <w:gridCol w:w="781"/>
        <w:gridCol w:w="346"/>
        <w:gridCol w:w="240"/>
        <w:gridCol w:w="841"/>
        <w:gridCol w:w="346"/>
        <w:gridCol w:w="211"/>
        <w:gridCol w:w="88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943610" cy="175260"/>
                      <wp:effectExtent l="0" t="0" r="0" b="0"/>
                      <wp:wrapNone/>
                      <wp:docPr id="285" name="Frame28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6"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05460" cy="175260"/>
                      <wp:effectExtent l="0" t="0" r="0" b="0"/>
                      <wp:wrapNone/>
                      <wp:docPr id="287" name="Frame2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88"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89"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95935" cy="175260"/>
                      <wp:effectExtent l="0" t="0" r="0" b="0"/>
                      <wp:wrapNone/>
                      <wp:docPr id="290" name="Frame2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1"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52400" cy="175260"/>
                      <wp:effectExtent l="0" t="0" r="0" b="0"/>
                      <wp:wrapNone/>
                      <wp:docPr id="292" name="Frame29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34035" cy="175260"/>
                      <wp:effectExtent l="0" t="0" r="0" b="0"/>
                      <wp:wrapNone/>
                      <wp:docPr id="293" name="Frame29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4"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5"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95935" cy="175260"/>
                      <wp:effectExtent l="0" t="0" r="0" b="0"/>
                      <wp:wrapNone/>
                      <wp:docPr id="296" name="Frame2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7"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298"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95935" cy="175260"/>
                      <wp:effectExtent l="0" t="0" r="0" b="0"/>
                      <wp:wrapNone/>
                      <wp:docPr id="299" name="Frame2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0"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52400" cy="175260"/>
                      <wp:effectExtent l="0" t="0" r="0" b="0"/>
                      <wp:wrapNone/>
                      <wp:docPr id="301" name="Frame29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34035" cy="175260"/>
                      <wp:effectExtent l="0" t="0" r="0" b="0"/>
                      <wp:wrapNone/>
                      <wp:docPr id="302" name="Frame30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3"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4"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62610" cy="175260"/>
                      <wp:effectExtent l="0" t="0" r="0" b="0"/>
                      <wp:wrapNone/>
                      <wp:docPr id="305" name="Frame3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7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Intangibles</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Lives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development costs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91,386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108,164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96,616</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5,275</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99,937</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49,896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31,468</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20,991</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16,652</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amortizable assets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221,931</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191,865</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150,011</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Non-amortizable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39,898</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42,344</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42,344</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261,829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234,209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192,355</w:t>
            </w:r>
          </w:p>
        </w:tc>
      </w:tr>
    </w:tbl>
    <w:p>
      <w:pPr>
        <w:pStyle w:val="TextBody"/>
        <w:bidi w:val="0"/>
        <w:spacing w:before="0" w:after="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Amortization expense related to intangible assets was $22.8 million, $21.6 million and $21.4 million for fiscal 2024, 2025 and 2026,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June 30, 2026, the estimated future amortization expense was as follows (in thousands):</w:t>
      </w:r>
    </w:p>
    <w:p>
      <w:pPr>
        <w:pStyle w:val="TextBody"/>
        <w:bidi w:val="0"/>
        <w:spacing w:before="0" w:after="0"/>
        <w:ind w:left="0" w:right="0" w:firstLine="720"/>
        <w:jc w:val="both"/>
        <w:rPr/>
      </w:pPr>
      <w:r>
        <w:rPr/>
        <w:t>​</w:t>
      </w:r>
    </w:p>
    <w:tbl>
      <w:tblPr>
        <w:tblW w:w="2389" w:type="dxa"/>
        <w:jc w:val="left"/>
        <w:tblInd w:w="0" w:type="dxa"/>
        <w:tblLayout w:type="fixed"/>
        <w:tblCellMar>
          <w:top w:w="0" w:type="dxa"/>
          <w:left w:w="0" w:type="dxa"/>
          <w:bottom w:w="0" w:type="dxa"/>
          <w:right w:w="0" w:type="dxa"/>
        </w:tblCellMar>
      </w:tblPr>
      <w:tblGrid>
        <w:gridCol w:w="946"/>
        <w:gridCol w:w="346"/>
        <w:gridCol w:w="21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00710" cy="175260"/>
                      <wp:effectExtent l="0" t="0" r="0" b="0"/>
                      <wp:wrapNone/>
                      <wp:docPr id="306" name="Frame30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7"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08"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0"/>
              <w:ind w:left="0" w:right="0" w:hanging="0"/>
              <w:jc w:val="left"/>
              <w:rPr/>
            </w:pPr>
            <w:r>
              <w:rPr/>
              <w:t>​</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12,606</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9,142</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8,043</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6,010</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100,102</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150,011</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Software development costs for software products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 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 Amortizable assets that have not yet begun to be amortized are included in “Thereafter” in the table above. During fiscal 2024, 2025 and 2026, we capitalized software development costs in the amounts of $16.6 million, $16.9 million and $17.2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hanging="0"/>
        <w:jc w:val="left"/>
        <w:rPr>
          <w:rFonts w:ascii="Times New Roman;Times;serif" w:hAnsi="Times New Roman;Times;serif"/>
          <w:sz w:val="20"/>
        </w:rPr>
      </w:pPr>
      <w:bookmarkStart w:id="926" w:name="Tc_rjiEbaEXtkG7E04R8IU4nA_5_12"/>
      <w:bookmarkStart w:id="927" w:name="Tc_Lge7vmhVI027t6RMX3uOHQ_5_0"/>
      <w:bookmarkStart w:id="928" w:name="Tc_hRBjtV_iDkSj6mylJFkwfw_4_12"/>
      <w:bookmarkStart w:id="929" w:name="Tc_FB4aRYvx406XUEbEWBA9sg_4_0"/>
      <w:bookmarkStart w:id="930" w:name="Tc_4YAZPXvWmke40ITWiqADDQ_3_12"/>
      <w:bookmarkStart w:id="931" w:name="Tc_0C9qYMcrdkOSIbjZCZPHqQ_3_8"/>
      <w:bookmarkStart w:id="932" w:name="Tc_JDbUVlLCb0u3nG9z-3U9BQ_3_5"/>
      <w:bookmarkStart w:id="933" w:name="Tc_OTt_l0OlmEa1jKvFA5KOxg_3_2"/>
      <w:bookmarkStart w:id="934" w:name="Tc_J1W5Z-5GzkivbQZzvS-uZg_3_0"/>
      <w:bookmarkStart w:id="935" w:name="Tc_41cbX7JeRU-10QIvkwWdfA_2_11"/>
      <w:bookmarkStart w:id="936" w:name="Tc_qmEk6_4gN0iaHV_inoQMAg_2_8"/>
      <w:bookmarkStart w:id="937" w:name="Tc_tHW-tHym1U6FAh7yKr1CvA_2_5"/>
      <w:bookmarkStart w:id="938" w:name="Tc_CbgIO3pv_ESS9w1eTIPoiA_2_2"/>
      <w:bookmarkStart w:id="939" w:name="Tc_FdzXm7tGaUalnAt6opcbsg_1_5"/>
      <w:bookmarkStart w:id="940" w:name="Tc_TImXUZ3pHEW8e4We2s0f9A_1_2"/>
      <w:bookmarkStart w:id="941" w:name="_cf4db6e5_e789_4964_951e_ada02b91ac2a"/>
      <w:bookmarkStart w:id="942" w:name="Tc_WfIyk5bXU0OLP88RwM6r6Q_3_12"/>
      <w:bookmarkStart w:id="943" w:name="Tc_57_XVl7ZXUOwbuEplgN13g_3_8"/>
      <w:bookmarkStart w:id="944" w:name="Tc_ZSqlsPp5V0SikGBrIAyKRg_3_5"/>
      <w:bookmarkStart w:id="945" w:name="Tc_rCRZ0u6HXUOtgXijz2eVzA_3_2"/>
      <w:bookmarkStart w:id="946" w:name="Tc_YTsrwILiNUqumXW2gCrQwA_3_0"/>
      <w:bookmarkStart w:id="947" w:name="Tc_V8ZYmLePSEqTjvNAejuj5g_2_11"/>
      <w:bookmarkStart w:id="948" w:name="Tc_8TL8dAnUQkCNKzWHPA4qkw_2_8"/>
      <w:bookmarkStart w:id="949" w:name="Tc_WNFn-FloPEKWAAlkeh3q9Q_2_5"/>
      <w:bookmarkStart w:id="950" w:name="Tc_L01g2BUUlEOl-kwFxWuFzA_2_2"/>
      <w:bookmarkStart w:id="951" w:name="Tc_vGtQAdJbX0esn1qGkMDgUg_1_5"/>
      <w:bookmarkStart w:id="952" w:name="Tc_OSkLLfqMT0ih_JSbTy0I9A_1_2"/>
      <w:bookmarkStart w:id="953" w:name="_35d40840_8408_4021_b83a_52d7db982a99"/>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b/>
          <w:i w:val="false"/>
          <w:caps w:val="false"/>
          <w:smallCaps w:val="false"/>
          <w:sz w:val="20"/>
        </w:rPr>
        <w:t>5.</w:t>
      </w:r>
      <w:r>
        <w:rPr>
          <w:rFonts w:ascii="Times New Roman;Times;serif" w:hAnsi="Times New Roman;Times;serif"/>
          <w:b/>
          <w:sz w:val="20"/>
        </w:rPr>
        <w:t>CONTRACT ASSETS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shows the balance of contract assets and liabilities as of June 30, 2025 and 2026, including the change between the periods. There were no substantial non-current contract assets for the periods presented.</w:t>
      </w:r>
    </w:p>
    <w:p>
      <w:pPr>
        <w:pStyle w:val="TextBody"/>
        <w:bidi w:val="0"/>
        <w:spacing w:before="0" w:after="240"/>
        <w:ind w:left="720" w:right="0" w:hanging="0"/>
        <w:jc w:val="both"/>
        <w:rPr>
          <w:rFonts w:ascii="Times New Roman;Times;serif" w:hAnsi="Times New Roman;Times;serif"/>
          <w:b/>
          <w:sz w:val="20"/>
        </w:rPr>
      </w:pPr>
      <w:r>
        <w:rPr>
          <w:rFonts w:ascii="Times New Roman;Times;serif" w:hAnsi="Times New Roman;Times;serif"/>
          <w:b/>
          <w:sz w:val="20"/>
        </w:rPr>
        <w:t>Contract Assets (dollar amounts in thousands)</w:t>
      </w:r>
    </w:p>
    <w:tbl>
      <w:tblPr>
        <w:tblW w:w="10183" w:type="dxa"/>
        <w:jc w:val="left"/>
        <w:tblInd w:w="0" w:type="dxa"/>
        <w:tblLayout w:type="fixed"/>
        <w:tblCellMar>
          <w:top w:w="0" w:type="dxa"/>
          <w:left w:w="0" w:type="dxa"/>
          <w:bottom w:w="0" w:type="dxa"/>
          <w:right w:w="0" w:type="dxa"/>
        </w:tblCellMar>
      </w:tblPr>
      <w:tblGrid>
        <w:gridCol w:w="4621"/>
        <w:gridCol w:w="346"/>
        <w:gridCol w:w="211"/>
        <w:gridCol w:w="781"/>
        <w:gridCol w:w="346"/>
        <w:gridCol w:w="211"/>
        <w:gridCol w:w="781"/>
        <w:gridCol w:w="346"/>
        <w:gridCol w:w="211"/>
        <w:gridCol w:w="796"/>
        <w:gridCol w:w="346"/>
        <w:gridCol w:w="871"/>
        <w:gridCol w:w="316"/>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934335" cy="175260"/>
                      <wp:effectExtent l="0" t="0" r="0" b="0"/>
                      <wp:wrapNone/>
                      <wp:docPr id="309" name="Frame307"/>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0"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1"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95935" cy="175260"/>
                      <wp:effectExtent l="0" t="0" r="0" b="0"/>
                      <wp:wrapNone/>
                      <wp:docPr id="312" name="Frame3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3"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4"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95935" cy="175260"/>
                      <wp:effectExtent l="0" t="0" r="0" b="0"/>
                      <wp:wrapNone/>
                      <wp:docPr id="315" name="Frame3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6"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7"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05460" cy="175260"/>
                      <wp:effectExtent l="0" t="0" r="0" b="0"/>
                      <wp:wrapNone/>
                      <wp:docPr id="318" name="Frame3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19"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53085" cy="175260"/>
                      <wp:effectExtent l="0" t="0" r="0" b="0"/>
                      <wp:wrapNone/>
                      <wp:docPr id="320" name="Frame31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0660" cy="175260"/>
                      <wp:effectExtent l="0" t="0" r="0" b="0"/>
                      <wp:wrapNone/>
                      <wp:docPr id="321" name="Frame3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46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revenue (included in 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0"/>
        <w:jc w:val="both"/>
        <w:rPr/>
      </w:pPr>
      <w:r>
        <w:rPr/>
        <w:t>​</w:t>
      </w:r>
    </w:p>
    <w:p>
      <w:pPr>
        <w:pStyle w:val="TextBody"/>
        <w:bidi w:val="0"/>
        <w:spacing w:before="0" w:after="240"/>
        <w:ind w:left="720" w:right="0" w:hanging="0"/>
        <w:jc w:val="both"/>
        <w:rPr>
          <w:rFonts w:ascii="Times New Roman;Times;serif" w:hAnsi="Times New Roman;Times;serif"/>
          <w:b/>
          <w:sz w:val="20"/>
        </w:rPr>
      </w:pPr>
      <w:r>
        <w:rPr>
          <w:rFonts w:ascii="Times New Roman;Times;serif" w:hAnsi="Times New Roman;Times;serif"/>
          <w:b/>
          <w:sz w:val="20"/>
        </w:rPr>
        <w:t>Contract Liabilities (dollar amounts in thousands)</w:t>
      </w:r>
    </w:p>
    <w:tbl>
      <w:tblPr>
        <w:tblW w:w="7843" w:type="dxa"/>
        <w:jc w:val="left"/>
        <w:tblInd w:w="0" w:type="dxa"/>
        <w:tblLayout w:type="fixed"/>
        <w:tblCellMar>
          <w:top w:w="0" w:type="dxa"/>
          <w:left w:w="0" w:type="dxa"/>
          <w:bottom w:w="0" w:type="dxa"/>
          <w:right w:w="0" w:type="dxa"/>
        </w:tblCellMar>
      </w:tblPr>
      <w:tblGrid>
        <w:gridCol w:w="2491"/>
        <w:gridCol w:w="346"/>
        <w:gridCol w:w="211"/>
        <w:gridCol w:w="676"/>
        <w:gridCol w:w="346"/>
        <w:gridCol w:w="211"/>
        <w:gridCol w:w="676"/>
        <w:gridCol w:w="346"/>
        <w:gridCol w:w="211"/>
        <w:gridCol w:w="796"/>
        <w:gridCol w:w="346"/>
        <w:gridCol w:w="871"/>
        <w:gridCol w:w="31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581785" cy="175260"/>
                      <wp:effectExtent l="0" t="0" r="0" b="0"/>
                      <wp:wrapNone/>
                      <wp:docPr id="322" name="Frame32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3"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4"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29260" cy="175260"/>
                      <wp:effectExtent l="0" t="0" r="0" b="0"/>
                      <wp:wrapNone/>
                      <wp:docPr id="325" name="Frame3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6"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7"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29260" cy="175260"/>
                      <wp:effectExtent l="0" t="0" r="0" b="0"/>
                      <wp:wrapNone/>
                      <wp:docPr id="328" name="Frame3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29"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0"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05460" cy="175260"/>
                      <wp:effectExtent l="0" t="0" r="0" b="0"/>
                      <wp:wrapNone/>
                      <wp:docPr id="331" name="Frame3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2"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53085" cy="175260"/>
                      <wp:effectExtent l="0" t="0" r="0" b="0"/>
                      <wp:wrapNone/>
                      <wp:docPr id="333" name="Frame33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0660" cy="175260"/>
                      <wp:effectExtent l="0" t="0" r="0" b="0"/>
                      <wp:wrapNone/>
                      <wp:docPr id="334" name="Frame33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13,248</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Contract Assets. </w:t>
      </w:r>
      <w:r>
        <w:rPr>
          <w:rFonts w:ascii="Times New Roman;Times;serif" w:hAnsi="Times New Roman;Times;serif"/>
          <w:sz w:val="20"/>
        </w:rPr>
        <w:t>Contract assets decreased by approximately $51.8 million as a result of unbilled revenue primarily from the timing and nature of milestones met in contracts for a number of customers in our Security Division, both within the United States and internationally, where we met the contractual terms to prepare invoices to the customers that reduce unbilled revenue, partially offset by transactions where we met the revenue recognition criteria under ASC 606 in advance of the time when contracts give us the right to invoice customers.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i/>
          <w:sz w:val="20"/>
        </w:rPr>
        <w:t>Remaining Performance Obligations</w:t>
      </w:r>
      <w:r>
        <w:rPr>
          <w:rFonts w:ascii="Times New Roman;Times;serif" w:hAnsi="Times New Roman;Times;serif"/>
          <w:sz w:val="20"/>
        </w:rPr>
        <w:t>. Remaining performance obligations related to ASC 606 represent the portion of the transaction price allocated to performance obligations under contracts which are fully or partially unsatisfied at the end of the period. As of June 30, 2026 and 2025 the aggregate portion of the transaction price allocated to remaining performance obligations was approximately $1.8</w:t>
      </w:r>
      <w:r>
        <w:rPr>
          <w:rFonts w:ascii="Times New Roman;Times;serif" w:hAnsi="Times New Roman;Times;serif"/>
          <w:sz w:val="24"/>
        </w:rPr>
        <w:t xml:space="preserve"> </w:t>
      </w:r>
      <w:r>
        <w:rPr>
          <w:rFonts w:ascii="Times New Roman;Times;serif" w:hAnsi="Times New Roman;Times;serif"/>
          <w:sz w:val="20"/>
        </w:rPr>
        <w:t>billion. During fiscal 2026, we revised the scope of the disclosure of remaining performance obligations to no longer apply the optional disclosure-only exemption in ASC 606-10-50-14(a) that permits an entity to not disclose information about remaining performance obligations for performance obligations that are part of contracts with an original expected duration of one year or less. We believe this change is preferable under the circumstances because the new disclosure provides more useful information to users of the financial statements by presenting a more comprehensive measure of remaining performance obligations. The prior year amount has been revised to conform to the current year presentation. This change only affected the scope of the disclosure of remaining performance obligations and did not affect revenue recognition, results of operations or financial position. As of June 30, 2026, we expect to recognize revenue on approximately 59%</w:t>
      </w:r>
      <w:r>
        <w:rPr>
          <w:rFonts w:ascii="Times New Roman;Times;serif" w:hAnsi="Times New Roman;Times;serif"/>
          <w:sz w:val="24"/>
        </w:rPr>
        <w:t xml:space="preserve"> </w:t>
      </w:r>
      <w:r>
        <w:rPr>
          <w:rFonts w:ascii="Times New Roman;Times;serif" w:hAnsi="Times New Roman;Times;serif"/>
          <w:sz w:val="20"/>
        </w:rPr>
        <w:t>of the remaining performance obligations over the next 12 months, and the remainder is expected to be recognized thereafter. During the fiscal year ended June 30, 2026, we recognized revenue of $110.0</w:t>
      </w:r>
      <w:r>
        <w:rPr>
          <w:rFonts w:ascii="Times New Roman;Times;serif" w:hAnsi="Times New Roman;Times;serif"/>
          <w:sz w:val="24"/>
        </w:rPr>
        <w:t xml:space="preserve"> </w:t>
      </w:r>
      <w:r>
        <w:rPr>
          <w:rFonts w:ascii="Times New Roman;Times;serif" w:hAnsi="Times New Roman;Times;serif"/>
          <w:sz w:val="20"/>
        </w:rPr>
        <w:t>million from contract liabilities existing as of July 1, 2025.</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i/>
          <w:sz w:val="20"/>
        </w:rPr>
        <w:t>Practical Expedients.</w:t>
      </w:r>
      <w:r>
        <w:rPr>
          <w:rFonts w:ascii="Times New Roman;Times;serif" w:hAnsi="Times New Roman;Times;serif"/>
          <w:sz w:val="24"/>
        </w:rPr>
        <w:t xml:space="preserve"> </w:t>
      </w:r>
      <w:r>
        <w:rPr>
          <w:rFonts w:ascii="Times New Roman;Times;serif" w:hAnsi="Times New Roman;Times;serif"/>
          <w:sz w:val="20"/>
        </w:rPr>
        <w:t>In cases where we are responsible for shipping after the customer has obtained control of the goods, we have elected to treat the shipping activities as fulfillment activities rather than as a separate performance obligation. Additionally, we have elected to capitalize the cost to obtain a contract only if the period of amortization</w:t>
      </w:r>
      <w:r>
        <w:rPr>
          <w:rFonts w:ascii="Times New Roman;Times;serif" w:hAnsi="Times New Roman;Times;serif"/>
          <w:sz w:val="24"/>
        </w:rPr>
        <w:t xml:space="preserve"> </w:t>
      </w:r>
      <w:r>
        <w:rPr>
          <w:rFonts w:ascii="Times New Roman;Times;serif" w:hAnsi="Times New Roman;Times;serif"/>
          <w:sz w:val="20"/>
        </w:rPr>
        <w:t>would be longer than one year. We only give consideration to whether a customer agreement has a financing component</w:t>
      </w:r>
      <w:r>
        <w:rPr>
          <w:rFonts w:ascii="Times New Roman;Times;serif" w:hAnsi="Times New Roman;Times;serif"/>
          <w:sz w:val="24"/>
        </w:rPr>
        <w:t xml:space="preserve"> </w:t>
      </w:r>
      <w:r>
        <w:rPr>
          <w:rFonts w:ascii="Times New Roman;Times;serif" w:hAnsi="Times New Roman;Times;serif"/>
          <w:sz w:val="20"/>
        </w:rPr>
        <w:t>if the period of time between transfer of goods and services and customer payment is greater than one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hanging="0"/>
        <w:jc w:val="left"/>
        <w:rPr>
          <w:rFonts w:ascii="Times New Roman;Times;serif" w:hAnsi="Times New Roman;Times;serif"/>
          <w:sz w:val="20"/>
        </w:rPr>
      </w:pPr>
      <w:bookmarkStart w:id="954" w:name="Tc_xvChBF4qqEKryPDaVKAvxA_10_2"/>
      <w:bookmarkStart w:id="955" w:name="Tc_YPgvUOPPVEG9uQ2ECPyWtg_10_0"/>
      <w:bookmarkStart w:id="956" w:name="Tc_vsLtbWwl5EaKuTg_L0sWZA_9_0"/>
      <w:bookmarkStart w:id="957" w:name="Tc_cwqWJZYm8UuU72BoMxvNTA_7_0"/>
      <w:bookmarkStart w:id="958" w:name="Tc_xpmo-6vXl0GSpUxLfhPwuQ_6_0"/>
      <w:bookmarkStart w:id="959" w:name="Tc_wJUFR-W5KkGva67ZTLDUxw_5_0"/>
      <w:bookmarkStart w:id="960" w:name="Tc_L1T264GwVU2H9k9oZbugNQ_4_0"/>
      <w:bookmarkStart w:id="961" w:name="Tc_3cFchates0-fgcdE-oimhg_3_0"/>
      <w:bookmarkStart w:id="962" w:name="Tc_GQRSfaGxXEaMX6pWR6cv1Q_2_2"/>
      <w:bookmarkStart w:id="963" w:name="Tc_OUD1dc700EmpJ4SWJG87Rg_2_0"/>
      <w:bookmarkStart w:id="964" w:name="Tc_OhJ2R09of0uHbHXF11i4PA_1_2"/>
      <w:bookmarkStart w:id="965" w:name="_4bf38c05_ed40_47b6_9d9b_e583ef3de0a4"/>
      <w:bookmarkStart w:id="966" w:name="Tc_eQ1Wei8w0k-UJlK6ux2ayw_4_0"/>
      <w:bookmarkStart w:id="967" w:name="Tc_jNeqQKe2xUKH4qblcIAKaw_3_5"/>
      <w:bookmarkStart w:id="968" w:name="Tc__pfW11RjWUymDWCTJIB4Wg_3_2"/>
      <w:bookmarkStart w:id="969" w:name="Tc_u9SUVXzj9UC7Shmh7k1Dfw_3_0"/>
      <w:bookmarkStart w:id="970" w:name="Tc_yqZdvpEpBEOHgXzeKssupw_2_5"/>
      <w:bookmarkStart w:id="971" w:name="Tc_92vqpIroKkmgw0dRaf-ZOA_2_2"/>
      <w:bookmarkStart w:id="972" w:name="Tc_rS5ov6blDEyWA-Lmi8JRHA_1_2"/>
      <w:bookmarkStart w:id="973" w:name="_07b38e4f_392f_423f_ada4_f631855dd049"/>
      <w:bookmarkStart w:id="974" w:name="Tc_JIgv3Dfr8U-OZEJJKRD6aA_9_10"/>
      <w:bookmarkStart w:id="975" w:name="Tc_lkSuca_IJ0OquxHmJXzZMQ_9_0"/>
      <w:bookmarkStart w:id="976" w:name="Tc_y_fB-NnaDEeB0NV6xZ1Zdg_8_9"/>
      <w:bookmarkStart w:id="977" w:name="Tc_rhKc_sBW0EOj1lYw2s2fIw_8_0"/>
      <w:bookmarkStart w:id="978" w:name="Tc_1c6IDDSjukOFiC1n3r1vKg_6_8"/>
      <w:bookmarkStart w:id="979" w:name="Tc_8LS5IS48NEik-B9x35NSPQ_6_5"/>
      <w:bookmarkStart w:id="980" w:name="Tc_W2BDRKdwpEekzGs2jmFDTA_6_0"/>
      <w:bookmarkStart w:id="981" w:name="Tc_-AW_kYzxyE2ZAkUcHI30Kg_5_0"/>
      <w:bookmarkStart w:id="982" w:name="Tc_bqLA7beg-U2DlFbW8QZorw_4_8"/>
      <w:bookmarkStart w:id="983" w:name="Tc_SrYh2N8Cw0eBtVZnneXyCQ_4_5"/>
      <w:bookmarkStart w:id="984" w:name="Tc_tMxxxeAifEKhsGwuPEmpog_4_0"/>
      <w:bookmarkStart w:id="985" w:name="Tc_NDqBL1WWNUidYQZec1oI8w_2_8"/>
      <w:bookmarkStart w:id="986" w:name="Tc_Dfbg4U5kh0yJwaibgAP-JA_2_5"/>
      <w:bookmarkStart w:id="987" w:name="Tc_3NFp5weMVUWU_z6iBMZe6A_2_0"/>
      <w:bookmarkStart w:id="988" w:name="Tc_eSZnl8BJmkaTVGFi9NLEZA_1_8"/>
      <w:bookmarkStart w:id="989" w:name="Tc_D3Cvs877lka_jiD6hZAxzw_1_5"/>
      <w:bookmarkStart w:id="990" w:name="Tc_xMNQOZzYi0y7zBfuZ3qiXg_1_2"/>
      <w:bookmarkStart w:id="991" w:name="_e4e6e353_d100_4898_8677_b249028633b0"/>
      <w:bookmarkStart w:id="992" w:name="Tc_Qf7sv2n-F0a7PI8MVZ59ww_6_5"/>
      <w:bookmarkStart w:id="993" w:name="Tc_dg9cy7wL1Uiqq8gKbtDGAg_6_2"/>
      <w:bookmarkStart w:id="994" w:name="Tc_Y-dgpGhwxkCB3McHsfQewA_5_0"/>
      <w:bookmarkStart w:id="995" w:name="Tc_7ohoQ6agmUqFAdxtMCPA5w_4_0"/>
      <w:bookmarkStart w:id="996" w:name="Tc_-eYkTEjfQUal8YwJZnkOgw_3_5"/>
      <w:bookmarkStart w:id="997" w:name="Tc_68ioYCzkeUm9fTy8ALTIfA_3_2"/>
      <w:bookmarkStart w:id="998" w:name="Tc_jJHpjxXWwkC-O7MYdJv5hQ_3_0"/>
      <w:bookmarkStart w:id="999" w:name="Tc_FyyuGRuMek2PW_DPo-1rTg_2_5"/>
      <w:bookmarkStart w:id="1000" w:name="Tc_QqMAd0bGYkOP5bwYqUqR2Q_2_2"/>
      <w:bookmarkStart w:id="1001" w:name="Tc_46kT88yRkk67S_CDUG-ZvA_1_2"/>
      <w:bookmarkStart w:id="1002" w:name="_1fd25906_c659_4878_9b57_01cd7b372ce7"/>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components of operating lease expense for the fiscal years ended June 30, 2025 and 2026 were as follows (in thousands):</w:t>
      </w:r>
    </w:p>
    <w:tbl>
      <w:tblPr>
        <w:tblW w:w="4372" w:type="dxa"/>
        <w:jc w:val="left"/>
        <w:tblInd w:w="0" w:type="dxa"/>
        <w:tblLayout w:type="fixed"/>
        <w:tblCellMar>
          <w:top w:w="0" w:type="dxa"/>
          <w:left w:w="0" w:type="dxa"/>
          <w:bottom w:w="0" w:type="dxa"/>
          <w:right w:w="0" w:type="dxa"/>
        </w:tblCellMar>
      </w:tblPr>
      <w:tblGrid>
        <w:gridCol w:w="1801"/>
        <w:gridCol w:w="346"/>
        <w:gridCol w:w="211"/>
        <w:gridCol w:w="676"/>
        <w:gridCol w:w="346"/>
        <w:gridCol w:w="211"/>
        <w:gridCol w:w="78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143635" cy="175260"/>
                      <wp:effectExtent l="0" t="0" r="0" b="0"/>
                      <wp:wrapNone/>
                      <wp:docPr id="335" name="Frame333"/>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6"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7"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29260" cy="175260"/>
                      <wp:effectExtent l="0" t="0" r="0" b="0"/>
                      <wp:wrapNone/>
                      <wp:docPr id="338" name="Frame3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39"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0"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95935" cy="175260"/>
                      <wp:effectExtent l="0" t="0" r="0" b="0"/>
                      <wp:wrapNone/>
                      <wp:docPr id="341" name="Frame3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June 30,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15,277</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17,266</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Supplemental balance sheet assets and liabilities related to operating leases were as follows (dollar amounts in thousands):</w:t>
      </w:r>
    </w:p>
    <w:tbl>
      <w:tblPr>
        <w:tblW w:w="10205" w:type="dxa"/>
        <w:jc w:val="left"/>
        <w:tblInd w:w="0" w:type="dxa"/>
        <w:tblLayout w:type="fixed"/>
        <w:tblCellMar>
          <w:top w:w="0" w:type="dxa"/>
          <w:left w:w="0" w:type="dxa"/>
          <w:bottom w:w="0" w:type="dxa"/>
          <w:right w:w="0" w:type="dxa"/>
        </w:tblCellMar>
      </w:tblPr>
      <w:tblGrid>
        <w:gridCol w:w="3035"/>
        <w:gridCol w:w="346"/>
        <w:gridCol w:w="146"/>
        <w:gridCol w:w="3407"/>
        <w:gridCol w:w="346"/>
        <w:gridCol w:w="267"/>
        <w:gridCol w:w="859"/>
        <w:gridCol w:w="346"/>
        <w:gridCol w:w="267"/>
        <w:gridCol w:w="868"/>
        <w:gridCol w:w="318"/>
      </w:tblGrid>
      <w:tr>
        <w:trPr/>
        <w:tc>
          <w:tcPr>
            <w:tcW w:w="3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927225" cy="175260"/>
                      <wp:effectExtent l="0" t="0" r="0" b="0"/>
                      <wp:wrapNone/>
                      <wp:docPr id="342" name="Frame340"/>
                      <a:graphic xmlns:a="http://schemas.openxmlformats.org/drawingml/2006/main">
                        <a:graphicData uri="http://schemas.microsoft.com/office/word/2010/wordprocessingShape">
                          <wps:wsp>
                            <wps:cNvSpPr txBox="1"/>
                            <wps:spPr>
                              <a:xfrm>
                                <a:off x="0" y="0"/>
                                <a:ext cx="192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3"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92710" cy="175260"/>
                      <wp:effectExtent l="0" t="0" r="0" b="0"/>
                      <wp:wrapNone/>
                      <wp:docPr id="344" name="Frame3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63445" cy="175260"/>
                      <wp:effectExtent l="0" t="0" r="0" b="0"/>
                      <wp:wrapNone/>
                      <wp:docPr id="345" name="Frame343"/>
                      <a:graphic xmlns:a="http://schemas.openxmlformats.org/drawingml/2006/main">
                        <a:graphicData uri="http://schemas.microsoft.com/office/word/2010/wordprocessingShape">
                          <wps:wsp>
                            <wps:cNvSpPr txBox="1"/>
                            <wps:spPr>
                              <a:xfrm>
                                <a:off x="0" y="0"/>
                                <a:ext cx="2163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6"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9545" cy="175260"/>
                      <wp:effectExtent l="0" t="0" r="0" b="0"/>
                      <wp:wrapNone/>
                      <wp:docPr id="347" name="Frame34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45465" cy="175260"/>
                      <wp:effectExtent l="0" t="0" r="0" b="0"/>
                      <wp:wrapNone/>
                      <wp:docPr id="348" name="Frame34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49"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69545" cy="175260"/>
                      <wp:effectExtent l="0" t="0" r="0" b="0"/>
                      <wp:wrapNone/>
                      <wp:docPr id="350" name="Frame34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51180" cy="175260"/>
                      <wp:effectExtent l="0" t="0" r="0" b="0"/>
                      <wp:wrapNone/>
                      <wp:docPr id="351" name="Frame34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1930" cy="175260"/>
                      <wp:effectExtent l="0" t="0" r="0" b="0"/>
                      <wp:wrapNone/>
                      <wp:docPr id="352" name="Frame350"/>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 Category</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center"/>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18" w:type="dxa"/>
            <w:tcBorders/>
            <w:vAlign w:val="center"/>
          </w:tcPr>
          <w:p>
            <w:pPr>
              <w:pStyle w:val="TableContents"/>
              <w:bidi w:val="0"/>
              <w:spacing w:before="0" w:after="0"/>
              <w:ind w:left="0" w:right="0" w:hanging="0"/>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ROU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3407"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32,040</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47,877</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0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3407"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expenses and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11,712</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13,115</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long-term</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3407"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20,977</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35,678</w:t>
            </w:r>
          </w:p>
        </w:tc>
        <w:tc>
          <w:tcPr>
            <w:tcW w:w="318" w:type="dxa"/>
            <w:tcBorders/>
            <w:vAlign w:val="center"/>
          </w:tcPr>
          <w:p>
            <w:pPr>
              <w:pStyle w:val="TableContents"/>
              <w:bidi w:val="0"/>
              <w:spacing w:before="0" w:after="0"/>
              <w:ind w:left="0" w:right="0" w:hanging="0"/>
              <w:jc w:val="left"/>
              <w:rPr/>
            </w:pPr>
            <w:r>
              <w:rPr/>
              <w:t>​</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4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32,689</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48,793</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0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34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6.1</w:t>
            </w:r>
            <w:r>
              <w:rPr>
                <w:rFonts w:ascii="Times New Roman;Times;serif" w:hAnsi="Times New Roman;Times;serif"/>
                <w:sz w:val="24"/>
              </w:rPr>
              <w:t xml:space="preserve"> </w:t>
            </w:r>
            <w:r>
              <w:rPr>
                <w:rFonts w:ascii="Times New Roman;Times;serif" w:hAnsi="Times New Roman;Times;serif"/>
                <w:sz w:val="20"/>
              </w:rPr>
              <w:t>Years</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Supplemental cash flow information related to operating leases for the year ended June 30, 2026 was as follows (in thousands):</w:t>
      </w:r>
    </w:p>
    <w:tbl>
      <w:tblPr>
        <w:tblW w:w="7477" w:type="dxa"/>
        <w:jc w:val="left"/>
        <w:tblInd w:w="0" w:type="dxa"/>
        <w:tblLayout w:type="fixed"/>
        <w:tblCellMar>
          <w:top w:w="0" w:type="dxa"/>
          <w:left w:w="0" w:type="dxa"/>
          <w:bottom w:w="0" w:type="dxa"/>
          <w:right w:w="0" w:type="dxa"/>
        </w:tblCellMar>
      </w:tblPr>
      <w:tblGrid>
        <w:gridCol w:w="4906"/>
        <w:gridCol w:w="346"/>
        <w:gridCol w:w="211"/>
        <w:gridCol w:w="676"/>
        <w:gridCol w:w="346"/>
        <w:gridCol w:w="211"/>
        <w:gridCol w:w="781"/>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115310" cy="175260"/>
                      <wp:effectExtent l="0" t="0" r="0" b="0"/>
                      <wp:wrapNone/>
                      <wp:docPr id="353" name="Frame351"/>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4"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5"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29260" cy="175260"/>
                      <wp:effectExtent l="0" t="0" r="0" b="0"/>
                      <wp:wrapNone/>
                      <wp:docPr id="356" name="Frame3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7"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58"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95935" cy="175260"/>
                      <wp:effectExtent l="0" t="0" r="0" b="0"/>
                      <wp:wrapNone/>
                      <wp:docPr id="359"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June 30, </w:t>
            </w:r>
          </w:p>
        </w:tc>
      </w:tr>
      <w:tr>
        <w:trPr/>
        <w:tc>
          <w:tcPr>
            <w:tcW w:w="4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14,908</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assets obtained in exchange for new lease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28,408</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Maturities of operating lease liabilities at June 30, 2026 were as follows (in thousands):</w:t>
      </w:r>
    </w:p>
    <w:tbl>
      <w:tblPr>
        <w:tblW w:w="3423" w:type="dxa"/>
        <w:jc w:val="left"/>
        <w:tblInd w:w="0" w:type="dxa"/>
        <w:tblLayout w:type="fixed"/>
        <w:tblCellMar>
          <w:top w:w="0" w:type="dxa"/>
          <w:left w:w="0" w:type="dxa"/>
          <w:bottom w:w="0" w:type="dxa"/>
          <w:right w:w="0" w:type="dxa"/>
        </w:tblCellMar>
      </w:tblPr>
      <w:tblGrid>
        <w:gridCol w:w="1906"/>
        <w:gridCol w:w="346"/>
        <w:gridCol w:w="249"/>
        <w:gridCol w:w="922"/>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10310" cy="175260"/>
                      <wp:effectExtent l="0" t="0" r="0" b="0"/>
                      <wp:wrapNone/>
                      <wp:docPr id="360" name="Frame358"/>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1"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58115" cy="175260"/>
                      <wp:effectExtent l="0" t="0" r="0" b="0"/>
                      <wp:wrapNone/>
                      <wp:docPr id="362" name="Frame36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85470" cy="175260"/>
                      <wp:effectExtent l="0" t="0" r="0" b="0"/>
                      <wp:wrapNone/>
                      <wp:docPr id="363" name="Frame361"/>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 2 years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10,045</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 3 years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4 years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4,988</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 5 years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16,929</w:t>
            </w:r>
          </w:p>
        </w:tc>
      </w:tr>
      <w:tr>
        <w:trPr/>
        <w:tc>
          <w:tcPr>
            <w:tcW w:w="19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58,339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48,793</w:t>
            </w:r>
          </w:p>
        </w:tc>
      </w:tr>
    </w:tbl>
    <w:p>
      <w:pPr>
        <w:pStyle w:val="TextBody"/>
        <w:bidi w:val="0"/>
        <w:spacing w:before="0" w:after="0"/>
        <w:ind w:left="0" w:right="0" w:hanging="0"/>
        <w:jc w:val="both"/>
        <w:rPr/>
      </w:pPr>
      <w:r>
        <w:rPr/>
        <w:t>​</w:t>
      </w:r>
    </w:p>
    <w:p>
      <w:pPr>
        <w:pStyle w:val="TextBody"/>
        <w:bidi w:val="0"/>
        <w:spacing w:before="0" w:after="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IMPAIRMENT, RESTRUCTURING AND OTHER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endeavor to align our global capacity and infrastructure with demand by our customers as well as fully integrate acquisitions and thereby improve operational efficiency.</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During the fiscal year ended June 30, 2026, we recognized $16.6</w:t>
      </w:r>
      <w:r>
        <w:rPr>
          <w:rFonts w:ascii="Times New Roman;Times;serif" w:hAnsi="Times New Roman;Times;serif"/>
          <w:sz w:val="24"/>
        </w:rPr>
        <w:t xml:space="preserve"> </w:t>
      </w:r>
      <w:r>
        <w:rPr>
          <w:rFonts w:ascii="Times New Roman;Times;serif" w:hAnsi="Times New Roman;Times;serif"/>
          <w:sz w:val="20"/>
        </w:rPr>
        <w:t>million in impairments, restructuring and other charges, which included $5.1</w:t>
      </w:r>
      <w:r>
        <w:rPr>
          <w:rFonts w:ascii="Times New Roman;Times;serif" w:hAnsi="Times New Roman;Times;serif"/>
          <w:sz w:val="24"/>
        </w:rPr>
        <w:t xml:space="preserve"> </w:t>
      </w:r>
      <w:r>
        <w:rPr>
          <w:rFonts w:ascii="Times New Roman;Times;serif" w:hAnsi="Times New Roman;Times;serif"/>
          <w:sz w:val="20"/>
        </w:rPr>
        <w:t>million for employee terminations, $2.1</w:t>
      </w:r>
      <w:r>
        <w:rPr>
          <w:rFonts w:ascii="Times New Roman;Times;serif" w:hAnsi="Times New Roman;Times;serif"/>
          <w:sz w:val="24"/>
        </w:rPr>
        <w:t xml:space="preserve"> </w:t>
      </w:r>
      <w:r>
        <w:rPr>
          <w:rFonts w:ascii="Times New Roman;Times;serif" w:hAnsi="Times New Roman;Times;serif"/>
          <w:sz w:val="20"/>
        </w:rPr>
        <w:t>million in acquisition related costs, $1.2</w:t>
      </w:r>
      <w:r>
        <w:rPr>
          <w:rFonts w:ascii="Times New Roman;Times;serif" w:hAnsi="Times New Roman;Times;serif"/>
          <w:sz w:val="24"/>
        </w:rPr>
        <w:t xml:space="preserve"> </w:t>
      </w:r>
      <w:r>
        <w:rPr>
          <w:rFonts w:ascii="Times New Roman;Times;serif" w:hAnsi="Times New Roman;Times;serif"/>
          <w:sz w:val="20"/>
        </w:rPr>
        <w:t xml:space="preserve">million for </w:t>
      </w:r>
      <w:r>
        <w:rPr>
          <w:rFonts w:ascii="Times New Roman;Times;serif" w:hAnsi="Times New Roman;Times;serif"/>
          <w:b w:val="false"/>
          <w:i w:val="false"/>
          <w:caps w:val="false"/>
          <w:smallCaps w:val="false"/>
          <w:sz w:val="20"/>
        </w:rPr>
        <w:t>impairment</w:t>
      </w:r>
      <w:r>
        <w:rPr>
          <w:rFonts w:ascii="Times New Roman;Times;serif" w:hAnsi="Times New Roman;Times;serif"/>
          <w:sz w:val="24"/>
        </w:rPr>
        <w:t xml:space="preserve"> </w:t>
      </w:r>
      <w:r>
        <w:rPr>
          <w:rFonts w:ascii="Times New Roman;Times;serif" w:hAnsi="Times New Roman;Times;serif"/>
          <w:sz w:val="20"/>
        </w:rPr>
        <w:t>of assets, $0.2</w:t>
      </w:r>
      <w:r>
        <w:rPr>
          <w:rFonts w:ascii="Times New Roman;Times;serif" w:hAnsi="Times New Roman;Times;serif"/>
          <w:sz w:val="24"/>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hanging="0"/>
        <w:jc w:val="both"/>
        <w:rPr>
          <w:rFonts w:ascii="Times New Roman;Times;serif" w:hAnsi="Times New Roman;Times;serif"/>
          <w:sz w:val="24"/>
        </w:rPr>
      </w:pPr>
      <w:bookmarkStart w:id="1003" w:name="Tc_FqC3Wq5hv0GSmjX2pwSkoA_11_14"/>
      <w:bookmarkStart w:id="1004" w:name="Tc_y9hhudIp1UKeDkjMnC4cQw_11_11"/>
      <w:bookmarkStart w:id="1005" w:name="Tc_nRmVGuRkU0O6Aw4sajTkxA_11_8"/>
      <w:bookmarkStart w:id="1006" w:name="Tc_Kjmu6cNOkE-TfV-tQ2F77Q_11_5"/>
      <w:bookmarkStart w:id="1007" w:name="Tc_wRbotuBegE2iUif6moDF0Q_11_2"/>
      <w:bookmarkStart w:id="1008" w:name="Tc_VMb2rn5aeEi49qPybzhruQ_11_0"/>
      <w:bookmarkStart w:id="1009" w:name="Tc_OimY3qrCxUuxoaViIFBXJg_10_12"/>
      <w:bookmarkStart w:id="1010" w:name="Tc_Q7hz1NCAikCG2MhIVsZ0sg_10_0"/>
      <w:bookmarkStart w:id="1011" w:name="Tc_TVSrB57LMEe1h0bOOkhkQQ_9_12"/>
      <w:bookmarkStart w:id="1012" w:name="Tc_X6AC4nbjDkmbfomrI_ibHQ_9_9"/>
      <w:bookmarkStart w:id="1013" w:name="Tc_aZV3e4tZVkqUuevXINTkzQ_9_6"/>
      <w:bookmarkStart w:id="1014" w:name="Tc_Dh2gL5saWEWleoMm7jDDeQ_9_0"/>
      <w:bookmarkStart w:id="1015" w:name="Tc_wgWtYGm9xES0Zhh_AquxeA_8_12"/>
      <w:bookmarkStart w:id="1016" w:name="Tc_AnEndBABsUSLSeziuh0uqQ_8_9"/>
      <w:bookmarkStart w:id="1017" w:name="Tc_hSZPwyhoWUS9j7JXi0cC5A_8_6"/>
      <w:bookmarkStart w:id="1018" w:name="Tc_VyAtg2I30kqOajAwKoFvlA_8_0"/>
      <w:bookmarkStart w:id="1019" w:name="Tc_SDyiQiBuyUOUOCDrO-Ii0w_7_0"/>
      <w:bookmarkStart w:id="1020" w:name="Tc_RJvpO8d3fEiurHUNSpxg9Q_6_14"/>
      <w:bookmarkStart w:id="1021" w:name="Tc_c4AsRxgJ6kuoUKxsMjk00A_6_11"/>
      <w:bookmarkStart w:id="1022" w:name="Tc_6FtG0ea5HUWIAdZL3FbwOg_6_9"/>
      <w:bookmarkStart w:id="1023" w:name="Tc_2Wr0JhtFSEiaG7NhSDn6_Q_6_8"/>
      <w:bookmarkStart w:id="1024" w:name="Tc_WfHgSon7yESWVCt9uDhnVA_6_6"/>
      <w:bookmarkStart w:id="1025" w:name="Tc_8MAZr6JQZkqe1mz1sUgpeg_6_5"/>
      <w:bookmarkStart w:id="1026" w:name="Tc_m6Qea7kSnUCxTCZWvWltFA_6_2"/>
      <w:bookmarkStart w:id="1027" w:name="Tc_BQf3j0mRuUqvWsK_4KZNsA_6_0"/>
      <w:bookmarkStart w:id="1028" w:name="Tc_nfQFjCNUzkWIOLDdlNUYcQ_5_14"/>
      <w:bookmarkStart w:id="1029" w:name="Tc_xljYyRD57U-rhmm2E9B1Cw_5_11"/>
      <w:bookmarkStart w:id="1030" w:name="Tc_gIughRhKMEqOR50U6IkofQ_5_8"/>
      <w:bookmarkStart w:id="1031" w:name="Tc_pntoDVhkzESZCJDfX-CilQ_5_5"/>
      <w:bookmarkStart w:id="1032" w:name="Tc__s6P9arFSEqLGteHieLzcA_5_2"/>
      <w:bookmarkStart w:id="1033" w:name="Tc_nziUJSR5l0e88nLOTBauUA_4_8"/>
      <w:bookmarkStart w:id="1034" w:name="Tc_MP8rF_-wgESDfcm5PXnaZw_4_5"/>
      <w:bookmarkStart w:id="1035" w:name="Tc_NUk95jN7zk22CEKOSHVZRw_4_2"/>
      <w:bookmarkStart w:id="1036" w:name="Tc_zauci32Cv06q3w3hhbu9mw_3_5"/>
      <w:bookmarkStart w:id="1037" w:name="Tc_6Y2DgafF4UKi4Q79TSsLIA_2_5"/>
      <w:bookmarkStart w:id="1038" w:name="Tc_3gzgfXlMOk-z8TmsjyjbYg_1_2"/>
      <w:bookmarkStart w:id="1039" w:name="_1ac5b752_e7fe_4455_a3ab_4596b4ad333e"/>
      <w:bookmarkStart w:id="1040" w:name="Tc_4hQU76nRaUu2dZzwx2m1-A_10_14"/>
      <w:bookmarkStart w:id="1041" w:name="Tc_Xhtvt2WVWkGXm8MtIofMJA_10_11"/>
      <w:bookmarkStart w:id="1042" w:name="Tc_3PcrE7ZcMU-T5iYNtEi4CA_10_8"/>
      <w:bookmarkStart w:id="1043" w:name="Tc_3McqTSkVzEOKiPF5fM3o_Q_10_5"/>
      <w:bookmarkStart w:id="1044" w:name="Tc_OMUv_jrqMUmV_YCBOAM54w_10_2"/>
      <w:bookmarkStart w:id="1045" w:name="Tc_p4xWoO_CD0GOpSNaEAJOZw_10_0"/>
      <w:bookmarkStart w:id="1046" w:name="Tc_YhdbmpPWoUOtHfupAq1F8A_9_12"/>
      <w:bookmarkStart w:id="1047" w:name="Tc_vjypbNNGLUGuUxtFoqR8zw_9_3"/>
      <w:bookmarkStart w:id="1048" w:name="Tc__CbmeaEAH0mXjC8fSM0spw_9_0"/>
      <w:bookmarkStart w:id="1049" w:name="Tc_LRzzMgxNdEOnvMxKJXrkbw_8_12"/>
      <w:bookmarkStart w:id="1050" w:name="Tc_-Jhyg5gzdUeVJhANGvZfHA_8_9"/>
      <w:bookmarkStart w:id="1051" w:name="Tc_Hex7y3pcuEWUHND9UJ9CJQ_8_0"/>
      <w:bookmarkStart w:id="1052" w:name="Tc_A4CKMO4Wy0yCNvFGoI9DvA_7_0"/>
      <w:bookmarkStart w:id="1053" w:name="Tc_ewLftrEQqk2_QZ1AbM2H4A_6_14"/>
      <w:bookmarkStart w:id="1054" w:name="Tc_bor8KJqNX0apzce3YdCIBQ_6_11"/>
      <w:bookmarkStart w:id="1055" w:name="Tc_udy-jV6jXUiujlFGt6AsyQ_6_9"/>
      <w:bookmarkStart w:id="1056" w:name="Tc_fCPQdgD8CUOpopXAbrGOow_6_8"/>
      <w:bookmarkStart w:id="1057" w:name="Tc_FI6sZNHv1kyHtxV7nUDAKA_6_6"/>
      <w:bookmarkStart w:id="1058" w:name="Tc_Y3ZjehCOpE2Fkvb_Hkl8hw_6_5"/>
      <w:bookmarkStart w:id="1059" w:name="Tc_6OU34WMV90Svh86mIDtQUA_6_2"/>
      <w:bookmarkStart w:id="1060" w:name="Tc_qmz6efKqmky7SD19XRVQlg_6_0"/>
      <w:bookmarkStart w:id="1061" w:name="Tc_nm5ih1zBaU2pUqJfYM9STQ_5_14"/>
      <w:bookmarkStart w:id="1062" w:name="Tc_3YU45psyR06AKUx3L2_-iw_5_11"/>
      <w:bookmarkStart w:id="1063" w:name="Tc_xA-RYU3CUECb-H0dTUAzow_5_8"/>
      <w:bookmarkStart w:id="1064" w:name="Tc_cmbJwRssUEyjndmRrjeawg_5_5"/>
      <w:bookmarkStart w:id="1065" w:name="Tc_0r2WGzBF0Eiyckw-HSYHOw_5_2"/>
      <w:bookmarkStart w:id="1066" w:name="Tc_0Paqlx0AqkanVZSPdKibCA_4_8"/>
      <w:bookmarkStart w:id="1067" w:name="Tc_DwWkhTHTj0-87M5-CYSYTA_4_5"/>
      <w:bookmarkStart w:id="1068" w:name="Tc_NvWgkDb_mUOCcKwV63RrWA_4_2"/>
      <w:bookmarkStart w:id="1069" w:name="Tc_0mxMaXK6J0uTU5L-b8zohw_3_5"/>
      <w:bookmarkStart w:id="1070" w:name="Tc_QvJxLwQwLUiU2h5_1_AaIw_2_5"/>
      <w:bookmarkStart w:id="1071" w:name="Tc_m3imu79dS0yEKSwAxtZ7hA_1_2"/>
      <w:bookmarkStart w:id="1072" w:name="_aca7b63a_7d77_461c_ab13_c2e80809ebcb"/>
      <w:bookmarkStart w:id="1073" w:name="Tc_ZJ0wFAhl9EabLcljeXiDBg_10_14"/>
      <w:bookmarkStart w:id="1074" w:name="Tc_mUEhwTNFlEiw2poW-j3FCQ_10_11"/>
      <w:bookmarkStart w:id="1075" w:name="Tc_oamxsmmU8kGNroZJ0otEdg_10_8"/>
      <w:bookmarkStart w:id="1076" w:name="Tc_Lqj4NRPPCkW55FamRf5Xfg_10_5"/>
      <w:bookmarkStart w:id="1077" w:name="Tc_cTVjw5WsIU-27SbPmRZvnA_10_2"/>
      <w:bookmarkStart w:id="1078" w:name="Tc_DLA4OOazckm3SJJhar_8zw_10_0"/>
      <w:bookmarkStart w:id="1079" w:name="Tc_r6t5aiaPv0iwU8FJrVbMLw_9_9"/>
      <w:bookmarkStart w:id="1080" w:name="Tc_Ya6i9YEbtUGOCoYr90a97A_9_6"/>
      <w:bookmarkStart w:id="1081" w:name="Tc_ExuK7zQNRU28qTxkd0_T-g_9_0"/>
      <w:bookmarkStart w:id="1082" w:name="Tc_m_7-FDXA606Bu6mfvrUi8A_8_12"/>
      <w:bookmarkStart w:id="1083" w:name="Tc_UhM4rWPyy0qt0aribRQiFA_8_9"/>
      <w:bookmarkStart w:id="1084" w:name="Tc_T4pwNN2Tr0GKlAvhQYL_SQ_8_0"/>
      <w:bookmarkStart w:id="1085" w:name="Tc_qqY-WkzYUUKYnopO6ApcyQ_7_0"/>
      <w:bookmarkStart w:id="1086" w:name="Tc_2Dj3biMTvU2EE0o2qh9J8w_6_14"/>
      <w:bookmarkStart w:id="1087" w:name="Tc_FHpmw9M4Ykakaeie9IHxGw_6_11"/>
      <w:bookmarkStart w:id="1088" w:name="Tc_QNpjTu_H7kG8pkjersLqNA_6_9"/>
      <w:bookmarkStart w:id="1089" w:name="Tc_I_GI6zMDCEKg6dKHx5PeYQ_6_8"/>
      <w:bookmarkStart w:id="1090" w:name="Tc_OHjeI7CY4Eexzh_f-IbhuA_6_5"/>
      <w:bookmarkStart w:id="1091" w:name="Tc__VXmAxQl_kaE8d8ccPGRsw_6_2"/>
      <w:bookmarkStart w:id="1092" w:name="Tc_IFrp8msGoE6wiZmpxbTU8g_6_0"/>
      <w:bookmarkStart w:id="1093" w:name="Tc_sv_cOOtFJ0qOhIfLsW1n8g_5_14"/>
      <w:bookmarkStart w:id="1094" w:name="Tc_IIu9XtC9IkCm0IFGeOgPXA_5_11"/>
      <w:bookmarkStart w:id="1095" w:name="Tc_bdqi1qZenEW3mFEd5zAr8g_5_8"/>
      <w:bookmarkStart w:id="1096" w:name="Tc_1vrNHaOaC0CPZsL6Wk3Ggw_5_5"/>
      <w:bookmarkStart w:id="1097" w:name="Tc_PwbfLM_4u0-rg-kLgBm6cQ_5_2"/>
      <w:bookmarkStart w:id="1098" w:name="Tc__OiRGeTujkOqWV1BamSP1A_4_8"/>
      <w:bookmarkStart w:id="1099" w:name="Tc_UmXklDkkSE-p3Az8eygqlQ_4_5"/>
      <w:bookmarkStart w:id="1100" w:name="Tc_ozRllM930ECEsHF0T_vpZQ_4_2"/>
      <w:bookmarkStart w:id="1101" w:name="Tc_4O_AXzNbKEOlvcltdxfY3Q_3_5"/>
      <w:bookmarkStart w:id="1102" w:name="Tc_Fod8svBmekG6HWiMel_hzg_2_5"/>
      <w:bookmarkStart w:id="1103" w:name="Tc_Dt1btLDt-0OAVHtXsv1Wxg_1_2"/>
      <w:bookmarkStart w:id="1104" w:name="_66464e56_9681_4188_8e22_a8289598f12f"/>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r>
        <w:rPr>
          <w:rFonts w:ascii="Times New Roman;Times;serif" w:hAnsi="Times New Roman;Times;serif"/>
          <w:sz w:val="20"/>
        </w:rPr>
        <w:t>million for facility closure costs for operational efficiency activities, $1.6</w:t>
      </w:r>
      <w:r>
        <w:rPr>
          <w:rFonts w:ascii="Times New Roman;Times;serif" w:hAnsi="Times New Roman;Times;serif"/>
          <w:sz w:val="24"/>
        </w:rPr>
        <w:t xml:space="preserve"> </w:t>
      </w:r>
      <w:r>
        <w:rPr>
          <w:rFonts w:ascii="Times New Roman;Times;serif" w:hAnsi="Times New Roman;Times;serif"/>
          <w:sz w:val="20"/>
        </w:rPr>
        <w:t>million in legal charges, $2.2</w:t>
      </w:r>
      <w:r>
        <w:rPr>
          <w:rFonts w:ascii="Times New Roman;Times;serif" w:hAnsi="Times New Roman;Times;serif"/>
          <w:sz w:val="24"/>
        </w:rPr>
        <w:t xml:space="preserve"> </w:t>
      </w:r>
      <w:r>
        <w:rPr>
          <w:rFonts w:ascii="Times New Roman;Times;serif" w:hAnsi="Times New Roman;Times;serif"/>
          <w:sz w:val="20"/>
        </w:rPr>
        <w:t>million for non-recurring charges in our Security division, and $4.2</w:t>
      </w:r>
      <w:r>
        <w:rPr>
          <w:rFonts w:ascii="Times New Roman;Times;serif" w:hAnsi="Times New Roman;Times;serif"/>
          <w:sz w:val="24"/>
        </w:rPr>
        <w:t xml:space="preserve"> </w:t>
      </w:r>
      <w:r>
        <w:rPr>
          <w:rFonts w:ascii="Times New Roman;Times;serif" w:hAnsi="Times New Roman;Times;serif"/>
          <w:sz w:val="20"/>
        </w:rPr>
        <w:t>million of non-recurring charges in our Healthcare division.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fiscal year ended June 30, 2025, we recognized $5.3 million in restructuring and other charges, which included $0.7 million for facility closure costs for operational efficiency activities, $2.7 million for employee terminations, $0.6 million in acquisition related costs, and $1.3 million in legal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fiscal year ended June 30, 2024, we recognized $6.4 million in restructuring and other charges, which included $3.2 million for facility closure costs for operational efficiency activities, $1.4 million for employee terminations, $1.0 million in acquisition related costs, and $0.8 million in legal charges.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summarize impairment, restructuring and other charges for the periods set forth below (in thousands):</w:t>
      </w:r>
    </w:p>
    <w:p>
      <w:pPr>
        <w:pStyle w:val="TextBody"/>
        <w:bidi w:val="0"/>
        <w:spacing w:before="0" w:after="0"/>
        <w:ind w:left="0" w:right="0" w:firstLine="720"/>
        <w:jc w:val="left"/>
        <w:rPr/>
      </w:pPr>
      <w:r>
        <w:rPr/>
        <w:t>​</w:t>
      </w:r>
    </w:p>
    <w:tbl>
      <w:tblPr>
        <w:tblW w:w="9042" w:type="dxa"/>
        <w:jc w:val="left"/>
        <w:tblInd w:w="0" w:type="dxa"/>
        <w:tblLayout w:type="fixed"/>
        <w:tblCellMar>
          <w:top w:w="0" w:type="dxa"/>
          <w:left w:w="0" w:type="dxa"/>
          <w:bottom w:w="0" w:type="dxa"/>
          <w:right w:w="0" w:type="dxa"/>
        </w:tblCellMar>
      </w:tblPr>
      <w:tblGrid>
        <w:gridCol w:w="2641"/>
        <w:gridCol w:w="346"/>
        <w:gridCol w:w="250"/>
        <w:gridCol w:w="501"/>
        <w:gridCol w:w="346"/>
        <w:gridCol w:w="336"/>
        <w:gridCol w:w="910"/>
        <w:gridCol w:w="346"/>
        <w:gridCol w:w="305"/>
        <w:gridCol w:w="611"/>
        <w:gridCol w:w="346"/>
        <w:gridCol w:w="235"/>
        <w:gridCol w:w="636"/>
        <w:gridCol w:w="346"/>
        <w:gridCol w:w="211"/>
        <w:gridCol w:w="67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677035" cy="175260"/>
                      <wp:effectExtent l="0" t="0" r="0" b="0"/>
                      <wp:wrapNone/>
                      <wp:docPr id="364" name="Frame36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5"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58750" cy="175260"/>
                      <wp:effectExtent l="0" t="0" r="0" b="0"/>
                      <wp:wrapNone/>
                      <wp:docPr id="366" name="Frame36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18135" cy="175260"/>
                      <wp:effectExtent l="0" t="0" r="0" b="0"/>
                      <wp:wrapNone/>
                      <wp:docPr id="367" name="Frame365"/>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68"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3360" cy="175260"/>
                      <wp:effectExtent l="0" t="0" r="0" b="0"/>
                      <wp:wrapNone/>
                      <wp:docPr id="369" name="Frame36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77850" cy="175260"/>
                      <wp:effectExtent l="0" t="0" r="0" b="0"/>
                      <wp:wrapNone/>
                      <wp:docPr id="370" name="Frame368"/>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1"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93675" cy="175260"/>
                      <wp:effectExtent l="0" t="0" r="0" b="0"/>
                      <wp:wrapNone/>
                      <wp:docPr id="372" name="Frame370"/>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87985" cy="175260"/>
                      <wp:effectExtent l="0" t="0" r="0" b="0"/>
                      <wp:wrapNone/>
                      <wp:docPr id="373" name="Frame371"/>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4"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49225" cy="175260"/>
                      <wp:effectExtent l="0" t="0" r="0" b="0"/>
                      <wp:wrapNone/>
                      <wp:docPr id="375" name="Frame37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03860" cy="175260"/>
                      <wp:effectExtent l="0" t="0" r="0" b="0"/>
                      <wp:wrapNone/>
                      <wp:docPr id="376" name="Frame374"/>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7"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78"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29260" cy="175260"/>
                      <wp:effectExtent l="0" t="0" r="0" b="0"/>
                      <wp:wrapNone/>
                      <wp:docPr id="379" name="Frame3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5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Optoelectronics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center"/>
              <w:rPr/>
            </w:pPr>
            <w:r>
              <w:rPr/>
              <w:t>​</w:t>
            </w:r>
          </w:p>
        </w:tc>
        <w:tc>
          <w:tcPr>
            <w:tcW w:w="6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center"/>
              <w:rPr/>
            </w:pPr>
            <w:r>
              <w:rPr/>
              <w:t>​</w:t>
            </w:r>
          </w:p>
        </w:tc>
        <w:tc>
          <w:tcPr>
            <w:tcW w:w="6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Security </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Healthcare</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termination costs</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closures/consolidation</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costs, net</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expensed</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6,391</w:t>
            </w:r>
          </w:p>
        </w:tc>
      </w:tr>
    </w:tbl>
    <w:p>
      <w:pPr>
        <w:pStyle w:val="TextBody"/>
        <w:bidi w:val="0"/>
        <w:spacing w:before="0" w:after="0"/>
        <w:ind w:left="0" w:right="0" w:firstLine="720"/>
        <w:jc w:val="left"/>
        <w:rPr/>
      </w:pPr>
      <w:r>
        <w:rPr/>
        <w:t>​</w:t>
      </w:r>
    </w:p>
    <w:tbl>
      <w:tblPr>
        <w:tblW w:w="9073" w:type="dxa"/>
        <w:jc w:val="left"/>
        <w:tblInd w:w="0" w:type="dxa"/>
        <w:tblLayout w:type="fixed"/>
        <w:tblCellMar>
          <w:top w:w="0" w:type="dxa"/>
          <w:left w:w="0" w:type="dxa"/>
          <w:bottom w:w="0" w:type="dxa"/>
          <w:right w:w="0" w:type="dxa"/>
        </w:tblCellMar>
      </w:tblPr>
      <w:tblGrid>
        <w:gridCol w:w="2641"/>
        <w:gridCol w:w="346"/>
        <w:gridCol w:w="211"/>
        <w:gridCol w:w="571"/>
        <w:gridCol w:w="346"/>
        <w:gridCol w:w="415"/>
        <w:gridCol w:w="831"/>
        <w:gridCol w:w="346"/>
        <w:gridCol w:w="247"/>
        <w:gridCol w:w="669"/>
        <w:gridCol w:w="346"/>
        <w:gridCol w:w="290"/>
        <w:gridCol w:w="581"/>
        <w:gridCol w:w="346"/>
        <w:gridCol w:w="211"/>
        <w:gridCol w:w="67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677035" cy="175260"/>
                      <wp:effectExtent l="0" t="0" r="0" b="0"/>
                      <wp:wrapNone/>
                      <wp:docPr id="380" name="Frame378"/>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1"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2"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62585" cy="175260"/>
                      <wp:effectExtent l="0" t="0" r="0" b="0"/>
                      <wp:wrapNone/>
                      <wp:docPr id="383" name="Frame3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4"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63525" cy="175260"/>
                      <wp:effectExtent l="0" t="0" r="0" b="0"/>
                      <wp:wrapNone/>
                      <wp:docPr id="385" name="Frame38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27685" cy="175260"/>
                      <wp:effectExtent l="0" t="0" r="0" b="0"/>
                      <wp:wrapNone/>
                      <wp:docPr id="386" name="Frame384"/>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7"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56845" cy="175260"/>
                      <wp:effectExtent l="0" t="0" r="0" b="0"/>
                      <wp:wrapNone/>
                      <wp:docPr id="388" name="Frame38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24815" cy="175260"/>
                      <wp:effectExtent l="0" t="0" r="0" b="0"/>
                      <wp:wrapNone/>
                      <wp:docPr id="389" name="Frame387"/>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0"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84150" cy="175260"/>
                      <wp:effectExtent l="0" t="0" r="0" b="0"/>
                      <wp:wrapNone/>
                      <wp:docPr id="391" name="Frame38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68935" cy="175260"/>
                      <wp:effectExtent l="0" t="0" r="0" b="0"/>
                      <wp:wrapNone/>
                      <wp:docPr id="392" name="Frame390"/>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3"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4"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29260" cy="175260"/>
                      <wp:effectExtent l="0" t="0" r="0" b="0"/>
                      <wp:wrapNone/>
                      <wp:docPr id="395" name="Frame3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8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Optoelectronics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Security </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Healthcare</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termination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closures/consolidation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5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costs,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5,335</w:t>
            </w:r>
          </w:p>
        </w:tc>
      </w:tr>
    </w:tbl>
    <w:p>
      <w:pPr>
        <w:pStyle w:val="TextBody"/>
        <w:bidi w:val="0"/>
        <w:spacing w:before="0" w:after="0"/>
        <w:ind w:left="0" w:right="0" w:firstLine="720"/>
        <w:jc w:val="left"/>
        <w:rPr/>
      </w:pPr>
      <w:r>
        <w:rPr/>
        <w:t>​</w:t>
      </w:r>
    </w:p>
    <w:tbl>
      <w:tblPr>
        <w:tblW w:w="9718" w:type="dxa"/>
        <w:jc w:val="left"/>
        <w:tblInd w:w="0" w:type="dxa"/>
        <w:tblLayout w:type="fixed"/>
        <w:tblCellMar>
          <w:top w:w="0" w:type="dxa"/>
          <w:left w:w="0" w:type="dxa"/>
          <w:bottom w:w="0" w:type="dxa"/>
          <w:right w:w="0" w:type="dxa"/>
        </w:tblCellMar>
      </w:tblPr>
      <w:tblGrid>
        <w:gridCol w:w="3181"/>
        <w:gridCol w:w="346"/>
        <w:gridCol w:w="211"/>
        <w:gridCol w:w="571"/>
        <w:gridCol w:w="346"/>
        <w:gridCol w:w="379"/>
        <w:gridCol w:w="867"/>
        <w:gridCol w:w="346"/>
        <w:gridCol w:w="247"/>
        <w:gridCol w:w="669"/>
        <w:gridCol w:w="346"/>
        <w:gridCol w:w="235"/>
        <w:gridCol w:w="636"/>
        <w:gridCol w:w="346"/>
        <w:gridCol w:w="211"/>
        <w:gridCol w:w="78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19935" cy="175260"/>
                      <wp:effectExtent l="0" t="0" r="0" b="0"/>
                      <wp:wrapNone/>
                      <wp:docPr id="396" name="Frame39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7"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398"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62585" cy="175260"/>
                      <wp:effectExtent l="0" t="0" r="0" b="0"/>
                      <wp:wrapNone/>
                      <wp:docPr id="399" name="Frame3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0"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40665" cy="175260"/>
                      <wp:effectExtent l="0" t="0" r="0" b="0"/>
                      <wp:wrapNone/>
                      <wp:docPr id="401" name="Frame399"/>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50545" cy="175260"/>
                      <wp:effectExtent l="0" t="0" r="0" b="0"/>
                      <wp:wrapNone/>
                      <wp:docPr id="402" name="Frame400"/>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3"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56845" cy="175260"/>
                      <wp:effectExtent l="0" t="0" r="0" b="0"/>
                      <wp:wrapNone/>
                      <wp:docPr id="404" name="Frame40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24815" cy="175260"/>
                      <wp:effectExtent l="0" t="0" r="0" b="0"/>
                      <wp:wrapNone/>
                      <wp:docPr id="405" name="Frame403"/>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6"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49225" cy="175260"/>
                      <wp:effectExtent l="0" t="0" r="0" b="0"/>
                      <wp:wrapNone/>
                      <wp:docPr id="407" name="Frame40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03860" cy="175260"/>
                      <wp:effectExtent l="0" t="0" r="0" b="0"/>
                      <wp:wrapNone/>
                      <wp:docPr id="408" name="Frame406"/>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09"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0"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95935" cy="175260"/>
                      <wp:effectExtent l="0" t="0" r="0" b="0"/>
                      <wp:wrapNone/>
                      <wp:docPr id="411" name="Frame4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Optoelectronics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Security </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Healthcare</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termination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closure/consolidation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and other expense (benefit),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5,422</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7,941</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7,006</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6,944</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16,591</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1105" w:name="Tc_3k90Lgqm8EW5ENr-C0DwlQ_11_14"/>
      <w:bookmarkStart w:id="1106" w:name="Tc_ieb-U0XpwEaS_HaYJ9Fyyg_11_11"/>
      <w:bookmarkStart w:id="1107" w:name="Tc_dJfELTztqkC_fNnRR_AVhA_11_9"/>
      <w:bookmarkStart w:id="1108" w:name="Tc__AE4lEbyiUS5GzIqFPIh2Q_11_8"/>
      <w:bookmarkStart w:id="1109" w:name="Tc_8vVeV6UBi0OubpaDcbPGhQ_11_5"/>
      <w:bookmarkStart w:id="1110" w:name="Tc_EesxBn2rxkGJF36_9zD-yQ_11_3"/>
      <w:bookmarkStart w:id="1111" w:name="Tc_3rpdb61tkECCOepIQtoiXw_11_2"/>
      <w:bookmarkStart w:id="1112" w:name="Tc_0Sce639PUEmGrXBz8IH1xw_11_0"/>
      <w:bookmarkStart w:id="1113" w:name="Tc_5tANRGouhUWD4yLUcnS9QQ_10_0"/>
      <w:bookmarkStart w:id="1114" w:name="Tc_rG8VT5c6ukGtZV9HliTovA_9_0"/>
      <w:bookmarkStart w:id="1115" w:name="Tc_NTaydcrDi0qTlsIfbP3BYw_8_14"/>
      <w:bookmarkStart w:id="1116" w:name="Tc__TNCJF7GCke7cdL2X-cxmw_8_11"/>
      <w:bookmarkStart w:id="1117" w:name="Tc_D1qbH93vdE6A_eiOvqNIQw_8_8"/>
      <w:bookmarkStart w:id="1118" w:name="Tc_lchC0HerZ06vNmOHD7f-Yw_8_5"/>
      <w:bookmarkStart w:id="1119" w:name="Tc_Rr8e-AYaUU6WRDXBN3PKsA_8_3"/>
      <w:bookmarkStart w:id="1120" w:name="Tc_xzy3lmhlPk-gveT9nyB0bQ_8_2"/>
      <w:bookmarkStart w:id="1121" w:name="Tc_AUXt2jofGU6Y8wKXpQcCLg_8_0"/>
      <w:bookmarkStart w:id="1122" w:name="Tc_Zck2pRROQEiHz_MEsRbIJg_7_0"/>
      <w:bookmarkStart w:id="1123" w:name="Tc_gaLodNKry0i6M2WS_OmXxg_6_0"/>
      <w:bookmarkStart w:id="1124" w:name="Tc_T5kGp3hR60qXjryZ7rxroQ_5_14"/>
      <w:bookmarkStart w:id="1125" w:name="Tc_tsiXHdpDbECrmaoFkyc6pA_5_11"/>
      <w:bookmarkStart w:id="1126" w:name="Tc_uLzAwhf9UUiFBGvh0ez4Wg_5_8"/>
      <w:bookmarkStart w:id="1127" w:name="Tc_Mqr595qebkKQ5PrKSLXZoQ_5_5"/>
      <w:bookmarkStart w:id="1128" w:name="Tc_TOcxjAL0qEO4-pbsZWdoAQ_5_2"/>
      <w:bookmarkStart w:id="1129" w:name="Tc_TIaT2-Xbokikxf3SrBRNkA_5_0"/>
      <w:bookmarkStart w:id="1130" w:name="Tc_yqUzUPjGUEea2ylAwaU2CQ_4_14"/>
      <w:bookmarkStart w:id="1131" w:name="Tc_RSTXgIVR-kCYcbxcabTnnQ_4_11"/>
      <w:bookmarkStart w:id="1132" w:name="Tc_wbbwlx01_EaxpGpCsGCpkQ_4_8"/>
      <w:bookmarkStart w:id="1133" w:name="Tc_m7mmPKWRfkKEVy9nZei7EA_4_5"/>
      <w:bookmarkStart w:id="1134" w:name="Tc_7uLg922VRU2KYNCvf4xYwg_4_2"/>
      <w:bookmarkStart w:id="1135" w:name="Tc_nZBhP1GLdEKKWkRytQXjag_3_11"/>
      <w:bookmarkStart w:id="1136" w:name="Tc_G_lboiVjHE62088oF1l7fw_3_8"/>
      <w:bookmarkStart w:id="1137" w:name="Tc_e1DJ7hiSTkC1UGq1Fcchig_3_5"/>
      <w:bookmarkStart w:id="1138" w:name="Tc_4USj2vGdLEmVtCU5C7HXnw_3_2"/>
      <w:bookmarkStart w:id="1139" w:name="Tc_Rpc9Py4ViEO-kgsTsbfXsQ_2_11"/>
      <w:bookmarkStart w:id="1140" w:name="Tc_xX728NpIJEGXAA0a3FsiIg_2_8"/>
      <w:bookmarkStart w:id="1141" w:name="Tc_N4dluM3xvkqxWJe1IfdDTg_2_5"/>
      <w:bookmarkStart w:id="1142" w:name="Tc_-gMByM3VgUGSX4hV_uEKzw_2_2"/>
      <w:bookmarkStart w:id="1143" w:name="Tc_5ZKLtgJYW0SnlxvUMUXLKg_1_8"/>
      <w:bookmarkStart w:id="1144" w:name="_3929a137_2fc7_46ae_b7e2_4962e000b50f"/>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Pr>
          <w:rFonts w:ascii="Times New Roman;Times;serif" w:hAnsi="Times New Roman;Times;serif"/>
          <w:sz w:val="20"/>
        </w:rPr>
        <w:t>The accrued liability for restructuring and other charges is included in other accrued expenses and current liabilities in the consolidated balance sheet. The changes in the accrued liability for restructuring and other charges for fiscal 2025 and 2026 were as follows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465"/>
        <w:gridCol w:w="346"/>
        <w:gridCol w:w="239"/>
        <w:gridCol w:w="723"/>
        <w:gridCol w:w="346"/>
        <w:gridCol w:w="252"/>
        <w:gridCol w:w="754"/>
        <w:gridCol w:w="346"/>
        <w:gridCol w:w="338"/>
        <w:gridCol w:w="773"/>
        <w:gridCol w:w="346"/>
        <w:gridCol w:w="211"/>
        <w:gridCol w:w="678"/>
        <w:gridCol w:w="346"/>
        <w:gridCol w:w="211"/>
        <w:gridCol w:w="831"/>
      </w:tblGrid>
      <w:tr>
        <w:trPr/>
        <w:tc>
          <w:tcPr>
            <w:tcW w:w="3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200275" cy="175260"/>
                      <wp:effectExtent l="0" t="0" r="0" b="0"/>
                      <wp:wrapNone/>
                      <wp:docPr id="412" name="Frame410"/>
                      <a:graphic xmlns:a="http://schemas.openxmlformats.org/drawingml/2006/main">
                        <a:graphicData uri="http://schemas.microsoft.com/office/word/2010/wordprocessingShape">
                          <wps:wsp>
                            <wps:cNvSpPr txBox="1"/>
                            <wps:spPr>
                              <a:xfrm>
                                <a:off x="0" y="0"/>
                                <a:ext cx="2200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3"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51765" cy="175260"/>
                      <wp:effectExtent l="0" t="0" r="0" b="0"/>
                      <wp:wrapNone/>
                      <wp:docPr id="414" name="Frame41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5"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60020" cy="175260"/>
                      <wp:effectExtent l="0" t="0" r="0" b="0"/>
                      <wp:wrapNone/>
                      <wp:docPr id="416" name="Frame41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7"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4630" cy="175260"/>
                      <wp:effectExtent l="0" t="0" r="0" b="0"/>
                      <wp:wrapNone/>
                      <wp:docPr id="418" name="Frame41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19"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0"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1"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2"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0"/>
              <w:ind w:left="0" w:right="0" w:hanging="0"/>
              <w:jc w:val="left"/>
              <w:rPr/>
            </w:pPr>
            <w:r>
              <w:rPr/>
              <w:t>​</w:t>
            </w:r>
          </w:p>
        </w:tc>
      </w:tr>
      <w:tr>
        <w:trPr/>
        <w:tc>
          <w:tcPr>
            <w:tcW w:w="3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Facility</w:t>
            </w:r>
          </w:p>
        </w:tc>
        <w:tc>
          <w:tcPr>
            <w:tcW w:w="346" w:type="dxa"/>
            <w:tcBorders/>
            <w:vAlign w:val="center"/>
          </w:tcPr>
          <w:p>
            <w:pPr>
              <w:pStyle w:val="TableContents"/>
              <w:bidi w:val="0"/>
              <w:spacing w:before="0" w:after="0"/>
              <w:ind w:left="0" w:right="0" w:hanging="0"/>
              <w:jc w:val="left"/>
              <w:rPr/>
            </w:pPr>
            <w:r>
              <w:rPr/>
              <w:t>​</w:t>
            </w:r>
          </w:p>
        </w:tc>
        <w:tc>
          <w:tcPr>
            <w:tcW w:w="889"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center"/>
              <w:rPr/>
            </w:pPr>
            <w:r>
              <w:rPr/>
              <w:t>​</w:t>
            </w:r>
          </w:p>
        </w:tc>
      </w:tr>
      <w:tr>
        <w:trPr/>
        <w:tc>
          <w:tcPr>
            <w:tcW w:w="3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Acquisition-</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Closure /</w:t>
            </w:r>
          </w:p>
        </w:tc>
        <w:tc>
          <w:tcPr>
            <w:tcW w:w="346" w:type="dxa"/>
            <w:tcBorders/>
            <w:vAlign w:val="center"/>
          </w:tcPr>
          <w:p>
            <w:pPr>
              <w:pStyle w:val="TableContents"/>
              <w:bidi w:val="0"/>
              <w:spacing w:before="0" w:after="0"/>
              <w:ind w:left="0" w:right="0" w:hanging="0"/>
              <w:jc w:val="left"/>
              <w:rPr/>
            </w:pPr>
            <w:r>
              <w:rPr/>
              <w:t>​</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Legal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center"/>
              <w:rPr/>
            </w:pPr>
            <w:r>
              <w:rPr/>
              <w:t>​</w:t>
            </w:r>
          </w:p>
        </w:tc>
      </w:tr>
      <w:tr>
        <w:trPr/>
        <w:tc>
          <w:tcPr>
            <w:tcW w:w="3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 </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Consolidation</w:t>
            </w:r>
          </w:p>
        </w:tc>
        <w:tc>
          <w:tcPr>
            <w:tcW w:w="346" w:type="dxa"/>
            <w:tcBorders/>
            <w:vAlign w:val="center"/>
          </w:tcPr>
          <w:p>
            <w:pPr>
              <w:pStyle w:val="TableContents"/>
              <w:bidi w:val="0"/>
              <w:spacing w:before="0" w:after="0"/>
              <w:ind w:left="0" w:right="0" w:hanging="0"/>
              <w:jc w:val="left"/>
              <w:rPr/>
            </w:pPr>
            <w:r>
              <w:rPr/>
              <w:t>​</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center"/>
              <w:rPr/>
            </w:pPr>
            <w:r>
              <w:rPr/>
              <w:t>​</w:t>
            </w:r>
          </w:p>
        </w:tc>
      </w:tr>
      <w:tr>
        <w:trPr/>
        <w:tc>
          <w:tcPr>
            <w:tcW w:w="3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0" w:after="0"/>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r>
      <w:tr>
        <w:trPr/>
        <w:tc>
          <w:tcPr>
            <w:tcW w:w="3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Restructuring and other charges, net </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c>
          <w:tcPr>
            <w:tcW w:w="34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r>
      <w:tr>
        <w:trPr/>
        <w:tc>
          <w:tcPr>
            <w:tcW w:w="3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adjustments and reimbursements,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(2,533)</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w:t>
            </w:r>
          </w:p>
        </w:tc>
      </w:tr>
      <w:tr>
        <w:trPr/>
        <w:tc>
          <w:tcPr>
            <w:tcW w:w="3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2025</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w:t>
            </w:r>
          </w:p>
        </w:tc>
      </w:tr>
      <w:tr>
        <w:trPr/>
        <w:tc>
          <w:tcPr>
            <w:tcW w:w="3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other charges,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15,437</w:t>
            </w:r>
          </w:p>
        </w:tc>
      </w:tr>
      <w:tr>
        <w:trPr/>
        <w:tc>
          <w:tcPr>
            <w:tcW w:w="3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and adjustments, net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(3,949)</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(14,805)</w:t>
            </w:r>
          </w:p>
        </w:tc>
      </w:tr>
      <w:tr>
        <w:trPr/>
        <w:tc>
          <w:tcPr>
            <w:tcW w:w="3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45" w:name="Tc_UW2VKevxs0e7XzTZ6zn_OA_9_2"/>
      <w:bookmarkStart w:id="1146" w:name="Tc_6s6TKDt060Cq8qRXSxO3PQ_9_0"/>
      <w:bookmarkStart w:id="1147" w:name="Tc_ackSrUUd7kuTYezoJlwOFg_8_0"/>
      <w:bookmarkStart w:id="1148" w:name="Tc_kEi0X-xpBEiKO24RtKlDCw_6_3"/>
      <w:bookmarkStart w:id="1149" w:name="Tc_T-BR6nRUOkKugtiUzseyvg_6_0"/>
      <w:bookmarkStart w:id="1150" w:name="Tc_vBsflcNDj0uefQw8_OONMQ_5_0"/>
      <w:bookmarkStart w:id="1151" w:name="Tc_UvXrbiC4AkiQviKkzHuC4w_4_0"/>
      <w:bookmarkStart w:id="1152" w:name="Tc_F4pphkqx4EOeOCYIC62orA_3_0"/>
      <w:bookmarkStart w:id="1153" w:name="Tc_2ybGhh3RfEyEXSi0zML5Vw_2_0"/>
      <w:bookmarkStart w:id="1154" w:name="Tc_vNAsXdjfX0ecXhThIvly4Q_1_2"/>
      <w:bookmarkStart w:id="1155" w:name="Tc_fE9rag280UOrO8Kl6XZiIA_1_0"/>
      <w:bookmarkStart w:id="1156" w:name="Tc_9lrfy_oLNkGIVhZJQ1YaQg_9_5"/>
      <w:bookmarkStart w:id="1157" w:name="Tc_XMyiYvp9nUujcV1vN30kFA_9_2"/>
      <w:bookmarkStart w:id="1158" w:name="Tc_bVb5fJALU0Cg6pEWQYxN6A_9_0"/>
      <w:bookmarkStart w:id="1159" w:name="Tc_82nlIH39JUOwPEvxOynZZw_8_0"/>
      <w:bookmarkStart w:id="1160" w:name="Tc_uDhcPHC7EUendswPUGT6gw_6_0"/>
      <w:bookmarkStart w:id="1161" w:name="Tc_hjijhMGsFUaecU-OMwZN6g_5_3"/>
      <w:bookmarkStart w:id="1162" w:name="Tc_WiH3nprQb0Osfqff5rXKZA_5_0"/>
      <w:bookmarkStart w:id="1163" w:name="Tc_s7bkVCOyb0aQM096ygPPGg_4_0"/>
      <w:bookmarkStart w:id="1164" w:name="Tc_ChMMbqNtv0iu7yhlNZ5TWQ_3_5"/>
      <w:bookmarkStart w:id="1165" w:name="Tc_RtOykY0mhEKc7vJf1UvtsQ_3_2"/>
      <w:bookmarkStart w:id="1166" w:name="Tc_BUtBy5OSKE2EHkdgw875Nw_3_0"/>
      <w:bookmarkStart w:id="1167" w:name="Tc_ZB9tLxKKqEGSiMA3EMMGfw_2_5"/>
      <w:bookmarkStart w:id="1168" w:name="Tc_uVvix5uwSka1mhdXu5F2GQ_2_2"/>
      <w:bookmarkStart w:id="1169" w:name="Tc_2b_2zm2yAUaIQ-f9FAJx_Q_1_2"/>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rFonts w:ascii="Times New Roman;Times;serif" w:hAnsi="Times New Roman;Times;serif"/>
          <w:b/>
          <w:i w:val="false"/>
          <w:caps w:val="false"/>
          <w:smallCaps w:val="false"/>
          <w:sz w:val="20"/>
        </w:rPr>
        <w:t>8.</w:t>
      </w:r>
      <w:r>
        <w:rPr>
          <w:rFonts w:ascii="Times New Roman;Times;serif" w:hAnsi="Times New Roman;Times;serif"/>
          <w:b/>
          <w:sz w:val="20"/>
        </w:rPr>
        <w:t>BORROWINGS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Long-term debt consisted of the following (in thousands):</w:t>
      </w:r>
    </w:p>
    <w:p>
      <w:pPr>
        <w:pStyle w:val="TextBody"/>
        <w:bidi w:val="0"/>
        <w:spacing w:before="0" w:after="0"/>
        <w:ind w:left="0" w:right="0" w:firstLine="720"/>
        <w:jc w:val="both"/>
        <w:rPr/>
      </w:pPr>
      <w:r>
        <w:rPr/>
        <w:t>​</w:t>
      </w:r>
    </w:p>
    <w:tbl>
      <w:tblPr>
        <w:tblW w:w="6067" w:type="dxa"/>
        <w:jc w:val="left"/>
        <w:tblInd w:w="0" w:type="dxa"/>
        <w:tblLayout w:type="fixed"/>
        <w:tblCellMar>
          <w:top w:w="0" w:type="dxa"/>
          <w:left w:w="0" w:type="dxa"/>
          <w:bottom w:w="0" w:type="dxa"/>
          <w:right w:w="0" w:type="dxa"/>
        </w:tblCellMar>
      </w:tblPr>
      <w:tblGrid>
        <w:gridCol w:w="3196"/>
        <w:gridCol w:w="346"/>
        <w:gridCol w:w="211"/>
        <w:gridCol w:w="781"/>
        <w:gridCol w:w="346"/>
        <w:gridCol w:w="211"/>
        <w:gridCol w:w="97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29460" cy="175260"/>
                      <wp:effectExtent l="0" t="0" r="0" b="0"/>
                      <wp:wrapNone/>
                      <wp:docPr id="423" name="Frame421"/>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4"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5"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6"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7"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Term loan </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128,125</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92,500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Notes, net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342,231</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344,052</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Notes, net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564,372</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471,634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1,001,049</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998,518</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Fiscal year principal payments of long-term debt as of June 30, 2026 are as follows (in thousands):</w:t>
      </w:r>
    </w:p>
    <w:p>
      <w:pPr>
        <w:pStyle w:val="TextBody"/>
        <w:bidi w:val="0"/>
        <w:spacing w:before="0" w:after="0"/>
        <w:ind w:left="0" w:right="0" w:firstLine="720"/>
        <w:jc w:val="both"/>
        <w:rPr/>
      </w:pPr>
      <w:r>
        <w:rPr/>
        <w:t>​</w:t>
      </w:r>
    </w:p>
    <w:tbl>
      <w:tblPr>
        <w:tblW w:w="5824" w:type="dxa"/>
        <w:jc w:val="left"/>
        <w:tblInd w:w="0" w:type="dxa"/>
        <w:tblLayout w:type="fixed"/>
        <w:tblCellMar>
          <w:top w:w="0" w:type="dxa"/>
          <w:left w:w="0" w:type="dxa"/>
          <w:bottom w:w="0" w:type="dxa"/>
          <w:right w:w="0" w:type="dxa"/>
        </w:tblCellMar>
      </w:tblPr>
      <w:tblGrid>
        <w:gridCol w:w="4231"/>
        <w:gridCol w:w="346"/>
        <w:gridCol w:w="211"/>
        <w:gridCol w:w="103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686685" cy="175260"/>
                      <wp:effectExtent l="0" t="0" r="0" b="0"/>
                      <wp:wrapNone/>
                      <wp:docPr id="428" name="Frame426"/>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29"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0"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355,012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1,017,625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discount and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(16,576)</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1,001,049</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Revolving Credit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2025 we amended and extended our credit facility, now maturing in July 2030, to increase the revolving limit from $600 million to $725 million and replaced the $128.1 million term loan with a $100.0 million term loan which were accounted for as a debt modification. The sub-limit for letters of credit was increased from $300 million to $350 million, which includes up to $300 million for borrowings in certain foreign currencies. Under certain circumstances and subject to certain conditions, we have the ability to increase the revolving credit facility by an amount equal to the greater of $300 million or such amount as would not cause our secured leverage ratio to exceed a specified level. Other enhancements include the permitted securitization of certain qualifying assets of up to $100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0"/>
        </w:rPr>
        <w:t xml:space="preserve">Borrowings under the facility bore interest at SOFR plus a </w:t>
      </w:r>
      <w:r>
        <w:rPr>
          <w:rFonts w:ascii="Times New Roman;Times;serif" w:hAnsi="Times New Roman;Times;serif"/>
          <w:b w:val="false"/>
          <w:i w:val="false"/>
          <w:caps w:val="false"/>
          <w:smallCaps w:val="false"/>
          <w:sz w:val="20"/>
        </w:rPr>
        <w:t>margin</w:t>
      </w:r>
      <w:r>
        <w:rPr>
          <w:rFonts w:ascii="Times New Roman;Times;serif" w:hAnsi="Times New Roman;Times;serif"/>
          <w:sz w:val="24"/>
        </w:rPr>
        <w:t xml:space="preserve"> </w:t>
      </w:r>
      <w:r>
        <w:rPr>
          <w:rFonts w:ascii="Times New Roman;Times;serif" w:hAnsi="Times New Roman;Times;serif"/>
          <w:sz w:val="20"/>
        </w:rPr>
        <w:t>of 1.25%</w:t>
      </w:r>
      <w:r>
        <w:rPr>
          <w:rFonts w:ascii="Times New Roman;Times;serif" w:hAnsi="Times New Roman;Times;serif"/>
          <w:sz w:val="24"/>
        </w:rPr>
        <w:t xml:space="preserve"> </w:t>
      </w:r>
      <w:r>
        <w:rPr>
          <w:rFonts w:ascii="Times New Roman;Times;serif" w:hAnsi="Times New Roman;Times;serif"/>
          <w:sz w:val="20"/>
        </w:rPr>
        <w:t>as of June 30, 2026 (which margin can range from 1.0%</w:t>
      </w:r>
      <w:r>
        <w:rPr>
          <w:rFonts w:ascii="Times New Roman;Times;serif" w:hAnsi="Times New Roman;Times;serif"/>
          <w:sz w:val="24"/>
        </w:rPr>
        <w:t xml:space="preserve"> </w:t>
      </w:r>
      <w:r>
        <w:rPr>
          <w:rFonts w:ascii="Times New Roman;Times;serif" w:hAnsi="Times New Roman;Times;serif"/>
          <w:sz w:val="20"/>
        </w:rPr>
        <w:t>to 1.75%</w:t>
      </w:r>
      <w:r>
        <w:rPr>
          <w:rFonts w:ascii="Times New Roman;Times;serif" w:hAnsi="Times New Roman;Times;serif"/>
          <w:sz w:val="24"/>
        </w:rPr>
        <w:t xml:space="preserve"> </w:t>
      </w:r>
      <w:r>
        <w:rPr>
          <w:rFonts w:ascii="Times New Roman;Times;serif" w:hAnsi="Times New Roman;Times;serif"/>
          <w:sz w:val="20"/>
        </w:rPr>
        <w:t>based on our consolidated net leverage ratio as defined in the credit facility). Letters of credit reduce the amount available to borrow under the credit facility by their face value amount. The unused portion of the facility bore a commitment fee of 0.15%</w:t>
      </w:r>
      <w:r>
        <w:rPr>
          <w:rFonts w:ascii="Times New Roman;Times;serif" w:hAnsi="Times New Roman;Times;serif"/>
          <w:sz w:val="24"/>
        </w:rPr>
        <w:t xml:space="preserve"> </w:t>
      </w:r>
      <w:r>
        <w:rPr>
          <w:rFonts w:ascii="Times New Roman;Times;serif" w:hAnsi="Times New Roman;Times;serif"/>
          <w:sz w:val="20"/>
        </w:rPr>
        <w:t>as of June 30, 2026 (which fee can range from 0.10%</w:t>
      </w:r>
      <w:r>
        <w:rPr>
          <w:rFonts w:ascii="Times New Roman;Times;serif" w:hAnsi="Times New Roman;Times;serif"/>
          <w:sz w:val="24"/>
        </w:rPr>
        <w:t xml:space="preserve"> </w:t>
      </w:r>
      <w:r>
        <w:rPr>
          <w:rFonts w:ascii="Times New Roman;Times;serif" w:hAnsi="Times New Roman;Times;serif"/>
          <w:sz w:val="20"/>
        </w:rPr>
        <w:t>to 0.25%</w:t>
      </w:r>
      <w:r>
        <w:rPr>
          <w:rFonts w:ascii="Times New Roman;Times;serif" w:hAnsi="Times New Roman;Times;serif"/>
          <w:sz w:val="24"/>
        </w:rPr>
        <w:t xml:space="preserve"> </w:t>
      </w:r>
      <w:r>
        <w:rPr>
          <w:rFonts w:ascii="Times New Roman;Times;serif" w:hAnsi="Times New Roman;Times;serif"/>
          <w:sz w:val="20"/>
        </w:rPr>
        <w:t>based on our consolidated net leverage ratio as defined in the credit facility). Our borrowings under the credit agreement are guaranteed by certain of our U.S.-based subsidiaries and are secured by substantially all of our assets and substantially all the assets of certain of our subsidiaries. The credit facility contains various representations and warranties, affirmative, negative and financial covenants and events of default. As of June 30, 2026, there were no</w:t>
      </w:r>
      <w:r>
        <w:rPr>
          <w:rFonts w:ascii="Times New Roman;Times;serif" w:hAnsi="Times New Roman;Times;serif"/>
          <w:sz w:val="24"/>
        </w:rPr>
        <w:t xml:space="preserve"> </w:t>
      </w:r>
      <w:r>
        <w:rPr>
          <w:rFonts w:ascii="Times New Roman;Times;serif" w:hAnsi="Times New Roman;Times;serif"/>
          <w:sz w:val="20"/>
        </w:rPr>
        <w:t>borrowings outstanding under the revolving credit facility, $95.8</w:t>
      </w:r>
      <w:r>
        <w:rPr>
          <w:rFonts w:ascii="Times New Roman;Times;serif" w:hAnsi="Times New Roman;Times;serif"/>
          <w:sz w:val="24"/>
        </w:rPr>
        <w:t xml:space="preserve"> </w:t>
      </w:r>
      <w:r>
        <w:rPr>
          <w:rFonts w:ascii="Times New Roman;Times;serif" w:hAnsi="Times New Roman;Times;serif"/>
          <w:sz w:val="20"/>
        </w:rPr>
        <w:t>million outstanding under the letters of credit sub-facility, and $92.5</w:t>
      </w:r>
      <w:r>
        <w:rPr>
          <w:rFonts w:ascii="Times New Roman;Times;serif" w:hAnsi="Times New Roman;Times;serif"/>
          <w:sz w:val="24"/>
        </w:rPr>
        <w:t xml:space="preserve"> </w:t>
      </w:r>
      <w:r>
        <w:rPr>
          <w:rFonts w:ascii="Times New Roman;Times;serif" w:hAnsi="Times New Roman;Times;serif"/>
          <w:sz w:val="20"/>
        </w:rPr>
        <w:t>million outstanding under the term loan. As of June 30, 2026, the amount available to borrow under the credit facility was $629.2</w:t>
      </w:r>
      <w:r>
        <w:rPr>
          <w:rFonts w:ascii="Times New Roman;Times;serif" w:hAnsi="Times New Roman;Times;serif"/>
          <w:sz w:val="24"/>
        </w:rPr>
        <w:t xml:space="preserve"> </w:t>
      </w:r>
      <w:r>
        <w:rPr>
          <w:rFonts w:ascii="Times New Roman;Times;serif" w:hAnsi="Times New Roman;Times;serif"/>
          <w:sz w:val="20"/>
        </w:rPr>
        <w:t>million. Loan amounts under the revolving credit facility may be borrowed, repaid and re-borrowed during the term. The principal amount of each loan is due and payable in full on the maturity date. We have the right to repay each loan in whole or in part from time to time without penalty. It is our practice to routinely borrow and repay several times per year under the revolving facility and therefore, borrowings under the revolving credit facility are included in current liabilities. As of June 30, 2026, we were in compliance with all financial covenants under this credit facility. In September 2022, we entered into an interest rate swap agreement in order to mitigate the interest rate risk on a portion of the interest payments expected to be made on the borrowings outstanding under the revolving credit facility and term loan. Refer to Note 1 for further information relating to the interest rate swap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2.25%</w:t>
      </w:r>
      <w:r>
        <w:rPr>
          <w:rFonts w:ascii="Times New Roman;Times;serif" w:hAnsi="Times New Roman;Times;serif"/>
          <w:sz w:val="20"/>
        </w:rPr>
        <w:t xml:space="preserve"> </w:t>
      </w:r>
      <w:r>
        <w:rPr>
          <w:rFonts w:ascii="Times New Roman;Times;serif" w:hAnsi="Times New Roman;Times;serif"/>
          <w:b/>
          <w:i/>
          <w:sz w:val="20"/>
        </w:rPr>
        <w:t>Convertible Senior Notes Due 2029 (“2029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2024, we issued an aggregate of $350.0 million principal amount of 2.25% convertible senior notes due in August 2029 in a private offering to qualified institutional buyers pursuant to Rule 144A under the Securities Act of 1933, as amended, at an issuance price equal to 97.5% of the principal amount. The 2029 Notes were issued pursuant to and are governed by an indenture dated July 19, 2024. The proceeds from the issuance of the 2029 Notes were $340.4 million, net of the issuance discount and debt issuance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2029 Notes are unsecured obligations which bear regular interest at 2.25% per annum payable semiannually in arrears on February 1 and August 1 of each year, beginning on February 1, 2025. The 2029 Notes will mature on August 1, 2029, unless repurchased, redeemed, or converted in accordance with their terms prior to such date. The 2029 Notes are convertible into a combination of cash and shares of our common stock, at an initial conversion rate of 5.2090 shares of common stock per $1,000 principal amount of 2029 Notes, which is equivalent to an initial conversion price of approximately $191.98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2029 Notes, at our option, on or after August 6, 2027 if the last reported sale price of our common stock has been at least 130% of the conversion price then in effect for at least 20 trading days at a redemption price equal to 100% of the principal amount of the 2029 Notes to be redeemed, plus accrued and unpaid interest up to the day before the redemption date. The holders may require us to repurchase the 2029 Notes upon the occurrence of certain fundamental change transactions at a redemption price equal to 100% of the principal amount of the 2029 Notes redeemed, plus accrued and unpaid interest up to the day before the redemption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the 2029 Notes may convert all or a portion of their 2029 Notes at their option prior to May 1, 2029, in multiples of $1,000 principal amounts, only under the following circumstances (i) during any calendar quarter commencing after the quarter ended on September 30, 2025 (and only during such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2029 Notes for redemption, at any time prior to the close of business on the scheduled trading day immediately preceding the redemption date, but only with respect to the notes called for redemption.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or after May 1, 2029, the 2029 Notes are convertible at any time until the close of business on the second scheduled trading day immediately preceding the maturity date. Holders of the 2029 Notes who convert the 2029 Notes in connection with a make-whole fundamental change, as defined in the indenture governing the 2029 Notes, or in connection with a redemption may be entitled to an increase in the conversion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bookmarkStart w:id="1170" w:name="Tc_gBX1Obd9KEG029HQeQ410A_7_2"/>
      <w:bookmarkStart w:id="1171" w:name="Tc_eq_8KIDASE-ePc_MLm-SyQ_7_0"/>
      <w:bookmarkStart w:id="1172" w:name="Tc_9nFAKPwadUe56M02vbptBQ_5_2"/>
      <w:bookmarkStart w:id="1173" w:name="Tc_3h0lzOTQ-EeFqYw6NJmhaA_5_0"/>
      <w:bookmarkStart w:id="1174" w:name="Tc_T-_ncFtqb0em2nod3Y5KVg_4_0"/>
      <w:bookmarkStart w:id="1175" w:name="Tc_9qH39plO_06AyFS5BFO0bg_3_2"/>
      <w:bookmarkStart w:id="1176" w:name="Tc_lVd8zLn310qD7EyK-nsO-Q_3_0"/>
      <w:bookmarkStart w:id="1177" w:name="Tc_3ozL4sNpikuuH-NN-IHneg_2_2"/>
      <w:bookmarkStart w:id="1178" w:name="Tc_uGc-ZNhRGky9vkobKo9etQ_1_2"/>
      <w:bookmarkEnd w:id="1170"/>
      <w:bookmarkEnd w:id="1171"/>
      <w:bookmarkEnd w:id="1172"/>
      <w:bookmarkEnd w:id="1173"/>
      <w:bookmarkEnd w:id="1174"/>
      <w:bookmarkEnd w:id="1175"/>
      <w:bookmarkEnd w:id="1176"/>
      <w:bookmarkEnd w:id="1177"/>
      <w:bookmarkEnd w:id="1178"/>
      <w:r>
        <w:rPr>
          <w:rFonts w:ascii="Times New Roman;Times;serif" w:hAnsi="Times New Roman;Times;serif"/>
          <w:sz w:val="20"/>
        </w:rPr>
        <w:t>We accounted for the issuance of the 2029 Notes as a single liability measured at its amortized cost, as no other embedded features require bifurcation and recognition as derivatives. The following table is a summary of the 2029 Notes as of June 30, 2026 (in thousands):</w:t>
      </w:r>
    </w:p>
    <w:p>
      <w:pPr>
        <w:pStyle w:val="TextBody"/>
        <w:bidi w:val="0"/>
        <w:spacing w:before="0" w:after="0"/>
        <w:ind w:left="0" w:right="0" w:hanging="0"/>
        <w:jc w:val="left"/>
        <w:rPr/>
      </w:pPr>
      <w:r>
        <w:rPr/>
        <w:t>​</w:t>
      </w:r>
    </w:p>
    <w:tbl>
      <w:tblPr>
        <w:tblW w:w="5299" w:type="dxa"/>
        <w:jc w:val="left"/>
        <w:tblInd w:w="0" w:type="dxa"/>
        <w:tblLayout w:type="fixed"/>
        <w:tblCellMar>
          <w:top w:w="0" w:type="dxa"/>
          <w:left w:w="0" w:type="dxa"/>
          <w:bottom w:w="0" w:type="dxa"/>
          <w:right w:w="0" w:type="dxa"/>
        </w:tblCellMar>
      </w:tblPr>
      <w:tblGrid>
        <w:gridCol w:w="3856"/>
        <w:gridCol w:w="346"/>
        <w:gridCol w:w="211"/>
        <w:gridCol w:w="88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448560" cy="175260"/>
                      <wp:effectExtent l="0" t="0" r="0" b="0"/>
                      <wp:wrapNone/>
                      <wp:docPr id="431" name="Frame429"/>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2"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3"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62610" cy="175260"/>
                      <wp:effectExtent l="0" t="0" r="0" b="0"/>
                      <wp:wrapNone/>
                      <wp:docPr id="434" name="Frame4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discount and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344,052</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467,505</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2029 Notes were not eligible for conversion as of June 30, 2026. No sinking fund is provided for the 2029 Notes, which means that we are not required to redeem or retire them periodically. As of June 30, 2026 we were in compliance with applicable financial covenants under the indenture governing the 2029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fiscal year ended June 30, 2026, total interest expense for the 2029 Notes was $9.7 million, which consisted of $7.9 million of contractual interest expense and $1.8 million of amortization of debt discount and issuance costs. The unamortized debt issuance cost is amortized on the effective interest method over the life of the 2029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0.50%</w:t>
      </w:r>
      <w:r>
        <w:rPr>
          <w:rFonts w:ascii="Times New Roman;Times;serif" w:hAnsi="Times New Roman;Times;serif"/>
          <w:sz w:val="20"/>
        </w:rPr>
        <w:t xml:space="preserve"> </w:t>
      </w:r>
      <w:r>
        <w:rPr>
          <w:rFonts w:ascii="Times New Roman;Times;serif" w:hAnsi="Times New Roman;Times;serif"/>
          <w:b/>
          <w:i/>
          <w:sz w:val="20"/>
        </w:rPr>
        <w:t>Convertible Senior Notes Due 2031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2025, we issued an aggregate of $575.0 million principal amount of 0.50% convertible senior notes due in February 2031 in a private offering to qualified institutional buyers pursuant to Rule 144A under the Securities Act at an issuance price equal to 98% of the principal amount. The 2031 Notes were issued pursuant to and are governed by an indenture dated November 20, 2025. The proceeds from the issuance of the 2031 Notes were approximately $563.0 million, net of the issuance discount and debt issuance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2031 Notes are unsecured obligations which bear regular interest at 0.50% per annum payable semiannually in arrears on February 1 and August 1 of each year, beginning on August 1, 2026. The 2031 Notes will mature on February 1, 2031, unless repurchased, redeemed, or converted in accordance with their terms prior to such date. The 2031 Notes are convertible into a combination of cash and shares of our common stock, at an initial conversion rate of 2.8263 shares of common stock per $1,000 principal amount of 2031 Notes, which is equivalent to an initial conversion price of approximately $353.82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2031 Notes, at our option, on or after February 6, 2029 if the last reported sale price of our common stock has been at least 130% of the conversion price then in effect for at least 20 trading days at a redemption price equal to 100% of the principal amount of the 2031 Notes to be redeemed, plus accrued and unpaid interest up to the day before the redemption date. The holders of the 2031 Notes may require us to repurchase the 2031 Notes upon the occurrence of certain fundamental change transactions at a redemption price equal to 100% of the principal amount of the 2031 Notes redeemed, plus accrued and unpaid interest up to the day before the redemption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the 2031 Notes may, at their option, convert all or a portion of their 2031 Notes prior to November 1, 2030, in multiples of $1,000 principal amounts, only (i) during any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the 2031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of the 2031 Notes for redemption, at any time prior to the close of business on the scheduled trading day immediately preceding the redemption date, but only with respect to the 2031 Notes called for redemption.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bookmarkStart w:id="1179" w:name="Tc_Bf3FK7JcYUqYMzvuB52zYQ_7_2"/>
      <w:bookmarkStart w:id="1180" w:name="Tc_CkggJsLYdkSls6wObjE_aQ_7_0"/>
      <w:bookmarkStart w:id="1181" w:name="Tc_wKidwXN-JEiv_miq9cDWTQ_5_2"/>
      <w:bookmarkStart w:id="1182" w:name="Tc_Twc5EhLPCk-60mzjk0VIRw_5_0"/>
      <w:bookmarkStart w:id="1183" w:name="Tc_BZTS4iGBNUeh09AWyzuldg_4_0"/>
      <w:bookmarkStart w:id="1184" w:name="Tc_1Lk2a27cdUSFY4JjPbl99Q_3_2"/>
      <w:bookmarkStart w:id="1185" w:name="Tc_p4sLl9P0MkqFbZZoFCypdg_3_0"/>
      <w:bookmarkStart w:id="1186" w:name="Tc_CXiPNzMAck-Q2eSGcwXoQQ_2_2"/>
      <w:bookmarkStart w:id="1187" w:name="Tc_IB3ids9bTEm7-Ct2QRglTQ_1_2"/>
      <w:bookmarkEnd w:id="1179"/>
      <w:bookmarkEnd w:id="1180"/>
      <w:bookmarkEnd w:id="1181"/>
      <w:bookmarkEnd w:id="1182"/>
      <w:bookmarkEnd w:id="1183"/>
      <w:bookmarkEnd w:id="1184"/>
      <w:bookmarkEnd w:id="1185"/>
      <w:bookmarkEnd w:id="1186"/>
      <w:bookmarkEnd w:id="1187"/>
      <w:r>
        <w:rPr>
          <w:rFonts w:ascii="Times New Roman;Times;serif" w:hAnsi="Times New Roman;Times;serif"/>
          <w:sz w:val="20"/>
        </w:rPr>
        <w:t>On or after November 1, 2030, the 2031 Notes will be convertible by the holders thereof at any time until the close of business on the second scheduled trading day immediately preceding the maturity date. Holders of the 2031 Notes who convert the 2031 Notes in connection with a make-whole fundamental change, as defined in the indenture governing the 2031 Notes, or in connection with a redemption may be entitled to an increase in the conversion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accounted for the issuance of the 2031 Notes as a single liability measured at its amortized cost, as no other embedded features require bifurcation and recognition as derivatives. The following table is a summary of the 2031 Notes as of June 30, 2026 (in thousands):</w:t>
      </w:r>
    </w:p>
    <w:p>
      <w:pPr>
        <w:pStyle w:val="TextBody"/>
        <w:bidi w:val="0"/>
        <w:spacing w:before="0" w:after="0"/>
        <w:ind w:left="0" w:right="0" w:hanging="0"/>
        <w:jc w:val="left"/>
        <w:rPr/>
      </w:pPr>
      <w:r>
        <w:rPr/>
        <w:t>​</w:t>
      </w:r>
    </w:p>
    <w:tbl>
      <w:tblPr>
        <w:tblW w:w="5299" w:type="dxa"/>
        <w:jc w:val="left"/>
        <w:tblInd w:w="0" w:type="dxa"/>
        <w:tblLayout w:type="fixed"/>
        <w:tblCellMar>
          <w:top w:w="0" w:type="dxa"/>
          <w:left w:w="0" w:type="dxa"/>
          <w:bottom w:w="0" w:type="dxa"/>
          <w:right w:w="0" w:type="dxa"/>
        </w:tblCellMar>
      </w:tblPr>
      <w:tblGrid>
        <w:gridCol w:w="3856"/>
        <w:gridCol w:w="346"/>
        <w:gridCol w:w="211"/>
        <w:gridCol w:w="88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448560" cy="175260"/>
                      <wp:effectExtent l="0" t="0" r="0" b="0"/>
                      <wp:wrapNone/>
                      <wp:docPr id="435" name="Frame433"/>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6"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7"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62610" cy="175260"/>
                      <wp:effectExtent l="0" t="0" r="0" b="0"/>
                      <wp:wrapNone/>
                      <wp:docPr id="438" name="Frame43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amount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575,000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discount and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564,372</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537,913</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2031 Notes were not eligible for conversion as of June 30, 2026. No sinking fund is provided for the 2031 Notes, which means that we are not required to redeem or retire them periodically. As of June 30, 2026 we were in compliance with applicable financial covenants under the indenture governing the 2031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fiscal year ended June 30, 2026, total interest expense for the 2031 Notes was $3.2 million, which consisted of $1.8 million of contractual interest expense and $1.4 million of amortization of debt discount and issuance costs. The unamortized debt issuance cost is amortized on the effective interest method over the life of the 2031 Notes.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Borrowings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Several of our foreign subsidiaries maintain bank lines-of-credit, denominated in local currencies and U.S. dollars, primarily for the issuance of letters-of-credit. As of June 30, 2026, $63.0 million was outstanding under these letter-of-credit facilities. As of June 30, 2026, the total amount available under these credit facilities was $57.2 million.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1188" w:name="Tc_W6tDuXPWD0CowCFbYiuqAg_5_8"/>
      <w:bookmarkStart w:id="1189" w:name="Tc_j3XYWEetx0GA_AMCsMX9Sg_5_5"/>
      <w:bookmarkStart w:id="1190" w:name="Tc_sywZLwk5O0qiDPullEXUhA_5_2"/>
      <w:bookmarkStart w:id="1191" w:name="Tc_apK6icmc5USs1mE7s8PSPQ_5_0"/>
      <w:bookmarkStart w:id="1192" w:name="Tc_RPZ4jqsC6kOWnC6Qs_bcsw_4_0"/>
      <w:bookmarkStart w:id="1193" w:name="Tc_Ghv9TMYJxE2A7xEo6Ycnjw_3_0"/>
      <w:bookmarkStart w:id="1194" w:name="Tc_HkzPV2fP2E61uRLyrp10Qw_2_8"/>
      <w:bookmarkStart w:id="1195" w:name="Tc_LVQ1uRuwL0ShlyhIPX8M4A_2_5"/>
      <w:bookmarkStart w:id="1196" w:name="Tc_WwxYY8VspE-OqTQMxJiePA_2_2"/>
      <w:bookmarkStart w:id="1197" w:name="Tc_AfShEfVaIkqN60fuq3lIuQ_2_0"/>
      <w:bookmarkStart w:id="1198" w:name="Tc_EfpsVk7tjkS5d5XGNBJcnA_1_8"/>
      <w:bookmarkStart w:id="1199" w:name="Tc_7XcTG9CymEm9CaqJrRfewg_1_5"/>
      <w:bookmarkStart w:id="1200" w:name="Tc_77-NBuOF80Cg4q2JZEh_Hw_1_2"/>
      <w:bookmarkStart w:id="1201" w:name="_dd0f2095_b7f9_49f3_a9f6_8f7d8e9160f0"/>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r>
        <w:rPr>
          <w:rFonts w:ascii="Times New Roman;Times;serif" w:hAnsi="Times New Roman;Times;serif"/>
          <w:b/>
          <w:i w:val="false"/>
          <w:caps w:val="false"/>
          <w:smallCaps w:val="false"/>
          <w:sz w:val="20"/>
        </w:rPr>
        <w:t>9.</w:t>
      </w:r>
      <w:r>
        <w:rPr>
          <w:rFonts w:ascii="Times New Roman;Times;serif" w:hAnsi="Times New Roman;Times;serif"/>
          <w:b/>
          <w:sz w:val="20"/>
        </w:rPr>
        <w:t>STOCKHOLDERS’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we maintained the OSI Plan as a stock-based employee compensation plan.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recorded stock-based compensation expense in the consolidated statements of operations as follows (in thousands):</w:t>
      </w:r>
    </w:p>
    <w:p>
      <w:pPr>
        <w:pStyle w:val="TextBody"/>
        <w:bidi w:val="0"/>
        <w:spacing w:before="0" w:after="0"/>
        <w:ind w:left="0" w:right="0" w:firstLine="720"/>
        <w:jc w:val="both"/>
        <w:rPr/>
      </w:pPr>
      <w:r>
        <w:rPr/>
        <w:t>​</w:t>
      </w:r>
    </w:p>
    <w:tbl>
      <w:tblPr>
        <w:tblW w:w="6805" w:type="dxa"/>
        <w:jc w:val="left"/>
        <w:tblInd w:w="0" w:type="dxa"/>
        <w:tblLayout w:type="fixed"/>
        <w:tblCellMar>
          <w:top w:w="0" w:type="dxa"/>
          <w:left w:w="0" w:type="dxa"/>
          <w:bottom w:w="0" w:type="dxa"/>
          <w:right w:w="0" w:type="dxa"/>
        </w:tblCellMar>
      </w:tblPr>
      <w:tblGrid>
        <w:gridCol w:w="3001"/>
        <w:gridCol w:w="346"/>
        <w:gridCol w:w="211"/>
        <w:gridCol w:w="676"/>
        <w:gridCol w:w="346"/>
        <w:gridCol w:w="211"/>
        <w:gridCol w:w="676"/>
        <w:gridCol w:w="346"/>
        <w:gridCol w:w="211"/>
        <w:gridCol w:w="78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905635" cy="175260"/>
                      <wp:effectExtent l="0" t="0" r="0" b="0"/>
                      <wp:wrapNone/>
                      <wp:docPr id="439" name="Frame43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0"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1"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29260" cy="175260"/>
                      <wp:effectExtent l="0" t="0" r="0" b="0"/>
                      <wp:wrapNone/>
                      <wp:docPr id="442" name="Frame4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3"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4"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29260" cy="175260"/>
                      <wp:effectExtent l="0" t="0" r="0" b="0"/>
                      <wp:wrapNone/>
                      <wp:docPr id="445" name="Frame4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6"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7"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95935" cy="175260"/>
                      <wp:effectExtent l="0" t="0" r="0" b="0"/>
                      <wp:wrapNone/>
                      <wp:docPr id="448" name="Frame4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24,594</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26,433</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0"/>
        </w:rPr>
        <w:t>As of June 30, 2026, total unrecognized compensation cost related to stock-based compensation grants under the OSI Plan was estimated at $0.9</w:t>
      </w:r>
      <w:r>
        <w:rPr>
          <w:rFonts w:ascii="Times New Roman;Times;serif" w:hAnsi="Times New Roman;Times;serif"/>
          <w:sz w:val="24"/>
        </w:rPr>
        <w:t> </w:t>
      </w:r>
      <w:r>
        <w:rPr>
          <w:rFonts w:ascii="Times New Roman;Times;serif" w:hAnsi="Times New Roman;Times;serif"/>
          <w:sz w:val="20"/>
        </w:rPr>
        <w:t>million for stock options and $13.3</w:t>
      </w:r>
      <w:r>
        <w:rPr>
          <w:rFonts w:ascii="Times New Roman;Times;serif" w:hAnsi="Times New Roman;Times;serif"/>
          <w:sz w:val="24"/>
        </w:rPr>
        <w:t xml:space="preserve">  </w:t>
      </w:r>
      <w:r>
        <w:rPr>
          <w:rFonts w:ascii="Times New Roman;Times;serif" w:hAnsi="Times New Roman;Times;serif"/>
          <w:sz w:val="20"/>
        </w:rPr>
        <w:t>million for restricted stock units (“RSUs”). We expect to recognize these costs over a weighted-average period of 1.87</w:t>
      </w:r>
      <w:r>
        <w:rPr>
          <w:rFonts w:ascii="Times New Roman;Times;serif" w:hAnsi="Times New Roman;Times;serif"/>
          <w:sz w:val="24"/>
        </w:rPr>
        <w:t> </w:t>
      </w:r>
      <w:r>
        <w:rPr>
          <w:rFonts w:ascii="Times New Roman;Times;serif" w:hAnsi="Times New Roman;Times;serif"/>
          <w:sz w:val="20"/>
        </w:rPr>
        <w:t>years with respect to the stock options and 2.2</w:t>
      </w:r>
      <w:r>
        <w:rPr>
          <w:rFonts w:ascii="Times New Roman;Times;serif" w:hAnsi="Times New Roman;Times;serif"/>
          <w:sz w:val="24"/>
        </w:rPr>
        <w:t> </w:t>
      </w:r>
      <w:r>
        <w:rPr>
          <w:rFonts w:ascii="Times New Roman;Times;serif" w:hAnsi="Times New Roman;Times;serif"/>
          <w:sz w:val="20"/>
        </w:rPr>
        <w:t>years for grants of RSUs.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hanging="0"/>
        <w:jc w:val="both"/>
        <w:rPr>
          <w:rFonts w:ascii="Times New Roman;Times;serif" w:hAnsi="Times New Roman;Times;serif"/>
          <w:b/>
          <w:sz w:val="20"/>
        </w:rPr>
      </w:pPr>
      <w:bookmarkStart w:id="1202" w:name="Tc_LSEbZwCTP0WzbMiRqfZa0w_5_0"/>
      <w:bookmarkStart w:id="1203" w:name="Tc_CWqObhMo50S8VBP7QNn5fQ_4_7"/>
      <w:bookmarkStart w:id="1204" w:name="Tc_eJHrLhPO-UieBk3Vvs-JcA_4_5"/>
      <w:bookmarkStart w:id="1205" w:name="Tc_zmfPzAHW7kaTt2po8V06Nw_4_3"/>
      <w:bookmarkStart w:id="1206" w:name="Tc_pzB6CUX6DUqsJr1BVkvTiQ_4_0"/>
      <w:bookmarkStart w:id="1207" w:name="Tc_3r7et2rCuUKCihukYB6cwA_3_7"/>
      <w:bookmarkStart w:id="1208" w:name="Tc_eTjkQdhGTUG3fyBDz2BCwg_3_5"/>
      <w:bookmarkStart w:id="1209" w:name="Tc_AApmKBjVAkyd1ELjEREqiQ_3_3"/>
      <w:bookmarkStart w:id="1210" w:name="Tc_le-hXtaEbEyugvjS8B19Vg_3_0"/>
      <w:bookmarkStart w:id="1211" w:name="Tc_VbdzWBHDZECQv8_Hi1rLtQ_2_6"/>
      <w:bookmarkStart w:id="1212" w:name="Tc_ubIkhi6w5USiarYiXOP4JA_2_4"/>
      <w:bookmarkStart w:id="1213" w:name="Tc_iUjohW93TUCB-061cBCqRA_2_2"/>
      <w:bookmarkStart w:id="1214" w:name="Tc_QdiV8yTJKE2YpQqtUZohVA_2_0"/>
      <w:bookmarkStart w:id="1215" w:name="Tc_-paAx3XQRESxrh2hrpNNXg_1_6"/>
      <w:bookmarkStart w:id="1216" w:name="Tc_mSp-g0RLwECQi-so8YUl3Q_1_4"/>
      <w:bookmarkStart w:id="1217" w:name="Tc_EbUU4pQbf02-_5xg_UEGNQ_1_2"/>
      <w:bookmarkStart w:id="1218" w:name="_ede93d3c_b694_4d9a_8c75_1fa6663ff059"/>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r>
        <w:rPr>
          <w:rFonts w:ascii="Times New Roman;Times;serif" w:hAnsi="Times New Roman;Times;serif"/>
          <w:b/>
          <w:sz w:val="20"/>
        </w:rPr>
        <w:t>OSI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Awards are granted in the form of incentive options, nonqualified options, stock appreciation rights, RSUs, performance shares and stock bonuses, amongst other forms of equity, to qualified employees, directors and consultants.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0"/>
        </w:rPr>
        <w:t>Under the OSI Plan, the exercise price of nonqualified options and incentive stock options may not be less than the fair market value of our common stock on the date of grant. The exercise price of nonqualified options and incentive stock options granted to individuals who own more than 10%</w:t>
      </w:r>
      <w:r>
        <w:rPr>
          <w:rFonts w:ascii="Times New Roman;Times;serif" w:hAnsi="Times New Roman;Times;serif"/>
          <w:sz w:val="24"/>
        </w:rPr>
        <w:t xml:space="preserve"> </w:t>
      </w:r>
      <w:r>
        <w:rPr>
          <w:rFonts w:ascii="Times New Roman;Times;serif" w:hAnsi="Times New Roman;Times;serif"/>
          <w:sz w:val="20"/>
        </w:rPr>
        <w:t xml:space="preserve">of our </w:t>
      </w:r>
      <w:r>
        <w:rPr>
          <w:rFonts w:ascii="Times New Roman;Times;serif" w:hAnsi="Times New Roman;Times;serif"/>
          <w:b w:val="false"/>
          <w:i w:val="false"/>
          <w:caps w:val="false"/>
          <w:smallCaps w:val="false"/>
          <w:sz w:val="20"/>
        </w:rPr>
        <w:t>voting stock</w:t>
      </w:r>
      <w:r>
        <w:rPr>
          <w:rFonts w:ascii="Times New Roman;Times;serif" w:hAnsi="Times New Roman;Times;serif"/>
          <w:sz w:val="24"/>
        </w:rPr>
        <w:t xml:space="preserve"> </w:t>
      </w:r>
      <w:r>
        <w:rPr>
          <w:rFonts w:ascii="Times New Roman;Times;serif" w:hAnsi="Times New Roman;Times;serif"/>
          <w:sz w:val="20"/>
        </w:rPr>
        <w:t>may not be less than 110%</w:t>
      </w:r>
      <w:r>
        <w:rPr>
          <w:rFonts w:ascii="Times New Roman;Times;serif" w:hAnsi="Times New Roman;Times;serif"/>
          <w:sz w:val="24"/>
        </w:rPr>
        <w:t xml:space="preserve"> </w:t>
      </w:r>
      <w:r>
        <w:rPr>
          <w:rFonts w:ascii="Times New Roman;Times;serif" w:hAnsi="Times New Roman;Times;serif"/>
          <w:sz w:val="20"/>
        </w:rPr>
        <w:t xml:space="preserve">of the </w:t>
      </w:r>
      <w:r>
        <w:rPr>
          <w:rFonts w:ascii="Times New Roman;Times;serif" w:hAnsi="Times New Roman;Times;serif"/>
          <w:b w:val="false"/>
          <w:i w:val="false"/>
          <w:caps w:val="false"/>
          <w:smallCaps w:val="false"/>
          <w:sz w:val="20"/>
        </w:rPr>
        <w:t>fair market value</w:t>
      </w:r>
      <w:r>
        <w:rPr>
          <w:rFonts w:ascii="Times New Roman;Times;serif" w:hAnsi="Times New Roman;Times;serif"/>
          <w:sz w:val="24"/>
        </w:rPr>
        <w:t xml:space="preserve"> </w:t>
      </w:r>
      <w:r>
        <w:rPr>
          <w:rFonts w:ascii="Times New Roman;Times;serif" w:hAnsi="Times New Roman;Times;serif"/>
          <w:sz w:val="20"/>
        </w:rPr>
        <w:t>of our common stock on the date of grant. Stock options granted under the OSI Plan typically vest over three years</w:t>
      </w:r>
      <w:r>
        <w:rPr>
          <w:rFonts w:ascii="Times New Roman;Times;serif" w:hAnsi="Times New Roman;Times;serif"/>
          <w:sz w:val="24"/>
        </w:rPr>
        <w:t xml:space="preserve"> </w:t>
      </w:r>
      <w:r>
        <w:rPr>
          <w:rFonts w:ascii="Times New Roman;Times;serif" w:hAnsi="Times New Roman;Times;serif"/>
          <w:sz w:val="20"/>
        </w:rPr>
        <w:t xml:space="preserve">based on continued service. Restricted stock and RSUs typically vest over </w:t>
      </w:r>
      <w:r>
        <w:rPr>
          <w:rFonts w:ascii="Times New Roman;Times;serif" w:hAnsi="Times New Roman;Times;serif"/>
          <w:b w:val="false"/>
          <w:i w:val="false"/>
          <w:caps w:val="false"/>
          <w:smallCaps w:val="false"/>
          <w:sz w:val="20"/>
        </w:rPr>
        <w:t>three</w:t>
      </w:r>
      <w:r>
        <w:rPr>
          <w:rFonts w:ascii="Times New Roman;Times;serif" w:hAnsi="Times New Roman;Times;serif"/>
          <w:sz w:val="24"/>
        </w:rPr>
        <w:t xml:space="preserve"> </w:t>
      </w:r>
      <w:r>
        <w:rPr>
          <w:rFonts w:ascii="Times New Roman;Times;serif" w:hAnsi="Times New Roman;Times;serif"/>
          <w:sz w:val="20"/>
        </w:rPr>
        <w:t>to four years</w:t>
      </w:r>
      <w:r>
        <w:rPr>
          <w:rFonts w:ascii="Times New Roman;Times;serif" w:hAnsi="Times New Roman;Times;serif"/>
          <w:sz w:val="24"/>
        </w:rPr>
        <w:t xml:space="preserve"> </w:t>
      </w:r>
      <w:r>
        <w:rPr>
          <w:rFonts w:ascii="Times New Roman;Times;serif" w:hAnsi="Times New Roman;Times;serif"/>
          <w:sz w:val="20"/>
        </w:rPr>
        <w:t>based on continued service. Certain restricted stock awards granted to senior management vest based on the achievement of pre-established performance criteria.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Stock Option Fair Value Estimation Assumptions.</w:t>
      </w:r>
      <w:r>
        <w:rPr>
          <w:rFonts w:ascii="Times New Roman;Times;serif" w:hAnsi="Times New Roman;Times;serif"/>
          <w:sz w:val="20"/>
        </w:rPr>
        <w:t xml:space="preserve"> We estimate the fair value of our stock options at the date of grant using the Black-Scholes option-pricing valuation model. Our valuation model is affected by our stock price as well as weighted average assumptions for a number of subjective variables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Dividend.</w:t>
      </w:r>
      <w:r>
        <w:rPr>
          <w:rFonts w:ascii="Times New Roman;Times;serif" w:hAnsi="Times New Roman;Times;serif"/>
          <w:sz w:val="20"/>
        </w:rPr>
        <w:t xml:space="preserve">   Expected dividend is based on historical patterns and our anticipated dividend payments over the expected holding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xml:space="preserve">   The risk-free interest rate for stock options is based on U.S. Treasuries for a maturity matching the expected holding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xml:space="preserve">   Expected volatility is based on implied volatility and/or our historical share price volatility matching the expected holding period. No single method of estimating volatility is proper under all circumstances and to the extent that a company can derive implied volatility based on the trading of its financial instruments on a public market, it may be appropriate to use both implied and historical volatility in its assumptions. We have certain financial instruments that are publicly traded from which we can derive the implied volatility. Therefore, we use implied and historical volatility for valuing our stock options. We believe that implied and historical volatility is a better indicator of expected volatility because it is generally reflective of both historical volatility and expectations of how future volatility will differ from historical volatility.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Holding Period.</w:t>
      </w:r>
      <w:r>
        <w:rPr>
          <w:rFonts w:ascii="Times New Roman;Times;serif" w:hAnsi="Times New Roman;Times;serif"/>
          <w:sz w:val="20"/>
        </w:rPr>
        <w:t xml:space="preserve">   We use historical stock option exercise data to estimate the expected holding period.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assumptions can materially impact the estimated fair value of stock options. The weighted average assumptions used in the valuation model are presented in the table below.</w:t>
      </w:r>
    </w:p>
    <w:p>
      <w:pPr>
        <w:pStyle w:val="TextBody"/>
        <w:bidi w:val="0"/>
        <w:spacing w:before="0" w:after="0"/>
        <w:ind w:left="0" w:right="0" w:firstLine="720"/>
        <w:jc w:val="both"/>
        <w:rPr/>
      </w:pPr>
      <w:r>
        <w:rPr/>
        <w:t>​</w:t>
      </w:r>
    </w:p>
    <w:tbl>
      <w:tblPr>
        <w:tblW w:w="5693" w:type="dxa"/>
        <w:jc w:val="left"/>
        <w:tblInd w:w="0" w:type="dxa"/>
        <w:tblLayout w:type="fixed"/>
        <w:tblCellMar>
          <w:top w:w="0" w:type="dxa"/>
          <w:left w:w="0" w:type="dxa"/>
          <w:bottom w:w="0" w:type="dxa"/>
          <w:right w:w="0" w:type="dxa"/>
        </w:tblCellMar>
      </w:tblPr>
      <w:tblGrid>
        <w:gridCol w:w="2941"/>
        <w:gridCol w:w="346"/>
        <w:gridCol w:w="466"/>
        <w:gridCol w:w="346"/>
        <w:gridCol w:w="466"/>
        <w:gridCol w:w="346"/>
        <w:gridCol w:w="466"/>
        <w:gridCol w:w="31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867535" cy="175260"/>
                      <wp:effectExtent l="0" t="0" r="0" b="0"/>
                      <wp:wrapNone/>
                      <wp:docPr id="449" name="Frame44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0"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95910" cy="175260"/>
                      <wp:effectExtent l="0" t="0" r="0" b="0"/>
                      <wp:wrapNone/>
                      <wp:docPr id="451" name="Frame44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2"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95910" cy="175260"/>
                      <wp:effectExtent l="0" t="0" r="0" b="0"/>
                      <wp:wrapNone/>
                      <wp:docPr id="453" name="Frame45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4"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95910" cy="175260"/>
                      <wp:effectExtent l="0" t="0" r="0" b="0"/>
                      <wp:wrapNone/>
                      <wp:docPr id="455" name="Frame45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0660" cy="175260"/>
                      <wp:effectExtent l="0" t="0" r="0" b="0"/>
                      <wp:wrapNone/>
                      <wp:docPr id="456" name="Frame4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left"/>
              <w:rPr/>
            </w:pPr>
            <w:r>
              <w:rPr/>
              <w:t>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holding period (in years)</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1219" w:name="Tc_MLPVAs2j4UaTQmcD6S-Edg_16_4"/>
      <w:bookmarkStart w:id="1220" w:name="Tc_YQlhZgnULUu-eF5TMQGl9Q_16_0"/>
      <w:bookmarkStart w:id="1221" w:name="Tc_xs_C7fV910us1dYm602RZA_15_0"/>
      <w:bookmarkStart w:id="1222" w:name="Tc_R1VV_aeovky4rwbszeIWNA_14_0"/>
      <w:bookmarkStart w:id="1223" w:name="Tc_JOffQNT6IUuGBF3JrP55yQ_13_0"/>
      <w:bookmarkStart w:id="1224" w:name="Tc_i-AXdnQ5SUKIwSXgDbDYSQ_12_4"/>
      <w:bookmarkStart w:id="1225" w:name="Tc__UB4SqmbTUiMlxEZRlds_w_12_0"/>
      <w:bookmarkStart w:id="1226" w:name="Tc_tUUQNsyDl0yto_YKoTw0EQ_11_0"/>
      <w:bookmarkStart w:id="1227" w:name="Tc_oYV7g9HT5kW2cLXrwNRsww_10_0"/>
      <w:bookmarkStart w:id="1228" w:name="Tc_E3gy1aR8Y0SE78hxQz5qmQ_9_0"/>
      <w:bookmarkStart w:id="1229" w:name="Tc_2Fa4QbsKTUqvzIwWOtHbRA_8_4"/>
      <w:bookmarkStart w:id="1230" w:name="Tc_MUyGm_iYGECBbHR3lPkd6w_8_0"/>
      <w:bookmarkStart w:id="1231" w:name="Tc_Mv3Cx_xMaU6YKi2xSGlesA_7_0"/>
      <w:bookmarkStart w:id="1232" w:name="Tc_ChmYSWL8EE2YoUiPGqLb9Q_6_0"/>
      <w:bookmarkStart w:id="1233" w:name="Tc_GZKtrUXrO0iZ5shhmDSTrg_5_0"/>
      <w:bookmarkStart w:id="1234" w:name="Tc_YDc1RsyJC0676FQwFM_rxg_4_4"/>
      <w:bookmarkStart w:id="1235" w:name="Tc_yOxKY0FnG0G8XsSoWIzsXQ_4_0"/>
      <w:bookmarkStart w:id="1236" w:name="Tc_kNQoIWqoLkeGFK9TfT7JHw_3_4"/>
      <w:bookmarkStart w:id="1237" w:name="Tc_z5rZWZC6G0Ku_fs1os8vYg_3_2"/>
      <w:bookmarkStart w:id="1238" w:name="Tc_t-vQYU8ouUWmS7A3EtklUg_2_4"/>
      <w:bookmarkStart w:id="1239" w:name="Tc_aMNqorf8EkOlNib9_Ssfrg_1_4"/>
      <w:bookmarkStart w:id="1240" w:name="_1819d827_2cdc_419f_adfe_4cc1beee96f6"/>
      <w:bookmarkStart w:id="1241" w:name="Tc_sMAjgWjo8kKBTeVBJw3zIQ_18_9"/>
      <w:bookmarkStart w:id="1242" w:name="Tc_S1KGkEhesEiUT0z_cV9rRw_18_7"/>
      <w:bookmarkStart w:id="1243" w:name="Tc_s5_R8ejeK0Su5CijaxENxQ_18_4"/>
      <w:bookmarkStart w:id="1244" w:name="Tc_vTBdd1Kda0qsv4iU1W0Dhg_18_0"/>
      <w:bookmarkStart w:id="1245" w:name="Tc_VA2EP7Nja0iscSOx6hYEng_17_9"/>
      <w:bookmarkStart w:id="1246" w:name="Tc_O42u8Hc9-EGkUs4j_dAu3w_17_7"/>
      <w:bookmarkStart w:id="1247" w:name="Tc_JbdIasw-9k6V3GtncnPJuQ_17_4"/>
      <w:bookmarkStart w:id="1248" w:name="Tc__HmVCzeFNkWtibFirq6gXA_17_0"/>
      <w:bookmarkStart w:id="1249" w:name="Tc_Tlg2s4XwnkukdpHtci9lTA_16_0"/>
      <w:bookmarkStart w:id="1250" w:name="Tc_t8wRhsHpr0OIHwh9zNK3Gg_15_0"/>
      <w:bookmarkStart w:id="1251" w:name="Tc_r2F_mBrEzE6oWOH_ydGbtg_14_0"/>
      <w:bookmarkStart w:id="1252" w:name="Tc_KQwO_bnJJESn-lKiOsvZkQ_13_4"/>
      <w:bookmarkStart w:id="1253" w:name="Tc_eraETMdfgUa75xFDkFYjeQ_13_0"/>
      <w:bookmarkStart w:id="1254" w:name="Tc_GtY_ZBuM80-DSKuAF1_7sw_12_0"/>
      <w:bookmarkStart w:id="1255" w:name="Tc_rCi_s26z_kOmNgNjRulc0w_11_0"/>
      <w:bookmarkStart w:id="1256" w:name="Tc_5E-7bG6QhEac679jdm6lJA_10_0"/>
      <w:bookmarkStart w:id="1257" w:name="Tc_rspAn1NfFEao2WRvWkQD5A_9_4"/>
      <w:bookmarkStart w:id="1258" w:name="Tc_uHBR-XpojESlDlOKtnlN_w_9_0"/>
      <w:bookmarkStart w:id="1259" w:name="Tc_aPRwlJqPGEqcyDQy24d1iw_8_0"/>
      <w:bookmarkStart w:id="1260" w:name="Tc_QgHp2Hw9j0GzFMheHspf-w_7_0"/>
      <w:bookmarkStart w:id="1261" w:name="Tc_XUiei2gQwUW43KaMkvtzEg_6_0"/>
      <w:bookmarkStart w:id="1262" w:name="Tc_825mGPaZ-kaUi7pt1NCGpw_5_4"/>
      <w:bookmarkStart w:id="1263" w:name="Tc_8RKWAFbbL0-VTNB0PRy7Ww_5_0"/>
      <w:bookmarkStart w:id="1264" w:name="Tc_a3hmUizlB0mx1Dqf7gKTaw_4_9"/>
      <w:bookmarkStart w:id="1265" w:name="Tc_p6BFgl9DJk-znSICdrHJfg_4_7"/>
      <w:bookmarkStart w:id="1266" w:name="Tc_GRcQA4sLvkSQZbSiqX3dEA_4_4"/>
      <w:bookmarkStart w:id="1267" w:name="Tc_h1ZMkSuMLEu13HuQTstjKA_4_2"/>
      <w:bookmarkStart w:id="1268" w:name="Tc_IJOkYphYcUu0KPzDaHW6yw_3_9"/>
      <w:bookmarkStart w:id="1269" w:name="Tc_JyEj_5HhO0OshRnvlDNJAA_3_7"/>
      <w:bookmarkStart w:id="1270" w:name="Tc_PqKR-O1GjEqGgJJoRgt0dw_3_4"/>
      <w:bookmarkStart w:id="1271" w:name="Tc_hMtgRavJSkudjYQgsiX-Ew_3_2"/>
      <w:bookmarkStart w:id="1272" w:name="Tc_UwpBreWFfk6Oa9yVyOZEGw_2_9"/>
      <w:bookmarkStart w:id="1273" w:name="Tc_ngX8EzqROEONlHgFZjovFw_2_7"/>
      <w:bookmarkStart w:id="1274" w:name="Tc_7MVddEyA0k26-ywaEDRzuQ_2_4"/>
      <w:bookmarkStart w:id="1275" w:name="Tc_lDAvNmO0pEaA61kbEe699w_1_4"/>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r>
        <w:rPr>
          <w:rFonts w:ascii="Times New Roman;Times;serif" w:hAnsi="Times New Roman;Times;serif"/>
          <w:sz w:val="20"/>
        </w:rPr>
        <w:t>The following summarizes stock option activity for fiscal years 2024, 2025 and 2026:</w:t>
      </w:r>
    </w:p>
    <w:p>
      <w:pPr>
        <w:pStyle w:val="TextBody"/>
        <w:bidi w:val="0"/>
        <w:spacing w:before="0" w:after="0"/>
        <w:ind w:left="0" w:right="0" w:firstLine="720"/>
        <w:jc w:val="both"/>
        <w:rPr/>
      </w:pPr>
      <w:r>
        <w:rPr/>
        <w:t>​</w:t>
      </w:r>
    </w:p>
    <w:tbl>
      <w:tblPr>
        <w:tblW w:w="8695" w:type="dxa"/>
        <w:jc w:val="left"/>
        <w:tblInd w:w="0" w:type="dxa"/>
        <w:tblLayout w:type="fixed"/>
        <w:tblCellMar>
          <w:top w:w="0" w:type="dxa"/>
          <w:left w:w="0" w:type="dxa"/>
          <w:bottom w:w="0" w:type="dxa"/>
          <w:right w:w="0" w:type="dxa"/>
        </w:tblCellMar>
      </w:tblPr>
      <w:tblGrid>
        <w:gridCol w:w="2506"/>
        <w:gridCol w:w="346"/>
        <w:gridCol w:w="886"/>
        <w:gridCol w:w="346"/>
        <w:gridCol w:w="211"/>
        <w:gridCol w:w="676"/>
        <w:gridCol w:w="346"/>
        <w:gridCol w:w="1816"/>
        <w:gridCol w:w="346"/>
        <w:gridCol w:w="288"/>
        <w:gridCol w:w="928"/>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591310" cy="175260"/>
                      <wp:effectExtent l="0" t="0" r="0" b="0"/>
                      <wp:wrapNone/>
                      <wp:docPr id="457" name="Frame45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58"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59"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60"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29260" cy="175260"/>
                      <wp:effectExtent l="0" t="0" r="0" b="0"/>
                      <wp:wrapNone/>
                      <wp:docPr id="461" name="Frame4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2"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153160" cy="175260"/>
                      <wp:effectExtent l="0" t="0" r="0" b="0"/>
                      <wp:wrapNone/>
                      <wp:docPr id="463" name="Frame46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4"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82880" cy="175260"/>
                      <wp:effectExtent l="0" t="0" r="0" b="0"/>
                      <wp:wrapNone/>
                      <wp:docPr id="465" name="Frame46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89280" cy="175260"/>
                      <wp:effectExtent l="0" t="0" r="0" b="0"/>
                      <wp:wrapNone/>
                      <wp:docPr id="466" name="Frame464"/>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  ​ ​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87.09</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119.45</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81.67</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 or forfeited</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86.72</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97.87</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174.09</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91.69</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 or forfeited</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111.09</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121.41</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266.17</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109.52</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 or forfeited</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151.92</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147.69</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7.4</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2026</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107.91</w:t>
            </w:r>
          </w:p>
        </w:tc>
        <w:tc>
          <w:tcPr>
            <w:tcW w:w="346" w:type="dxa"/>
            <w:tcBorders/>
            <w:vAlign w:val="center"/>
          </w:tcPr>
          <w:p>
            <w:pPr>
              <w:pStyle w:val="TableContents"/>
              <w:bidi w:val="0"/>
              <w:spacing w:before="0" w:after="0"/>
              <w:ind w:left="0" w:right="0" w:hanging="0"/>
              <w:jc w:val="left"/>
              <w:rPr/>
            </w:pPr>
            <w:r>
              <w:rPr/>
              <w:t>​</w:t>
            </w:r>
          </w:p>
        </w:tc>
        <w:tc>
          <w:tcPr>
            <w:tcW w:w="18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6.4</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2,955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per-share weighted-average grant-date fair value of stock options granted under the OSI Plan was $38.28, $55.50 and $90.76 for fiscal 2024, 2025 and 2026, respectively. The total intrinsic value of options exercised during fiscal 2026 was $2.5 million.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Restricted Stock Units</w:t>
      </w:r>
      <w:r>
        <w:rPr>
          <w:rFonts w:ascii="Times New Roman;Times;serif" w:hAnsi="Times New Roman;Times;serif"/>
          <w:sz w:val="20"/>
        </w:rPr>
        <w:t>—A summary of RSU activity for the periods indicated was as follows:</w:t>
      </w:r>
    </w:p>
    <w:p>
      <w:pPr>
        <w:pStyle w:val="TextBody"/>
        <w:bidi w:val="0"/>
        <w:spacing w:before="0" w:after="0"/>
        <w:ind w:left="0" w:right="0" w:firstLine="720"/>
        <w:jc w:val="both"/>
        <w:rPr/>
      </w:pPr>
      <w:r>
        <w:rPr/>
        <w:t>​</w:t>
      </w:r>
    </w:p>
    <w:tbl>
      <w:tblPr>
        <w:tblW w:w="4956" w:type="dxa"/>
        <w:jc w:val="left"/>
        <w:tblInd w:w="0" w:type="dxa"/>
        <w:tblLayout w:type="fixed"/>
        <w:tblCellMar>
          <w:top w:w="0" w:type="dxa"/>
          <w:left w:w="0" w:type="dxa"/>
          <w:bottom w:w="0" w:type="dxa"/>
          <w:right w:w="0" w:type="dxa"/>
        </w:tblCellMar>
      </w:tblPr>
      <w:tblGrid>
        <w:gridCol w:w="2371"/>
        <w:gridCol w:w="346"/>
        <w:gridCol w:w="901"/>
        <w:gridCol w:w="346"/>
        <w:gridCol w:w="211"/>
        <w:gridCol w:w="78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505585" cy="175260"/>
                      <wp:effectExtent l="0" t="0" r="0" b="0"/>
                      <wp:wrapNone/>
                      <wp:docPr id="467" name="Frame465"/>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68"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72135" cy="175260"/>
                      <wp:effectExtent l="0" t="0" r="0" b="0"/>
                      <wp:wrapNone/>
                      <wp:docPr id="469" name="Frame46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0"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1" name="Frame4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95935" cy="175260"/>
                      <wp:effectExtent l="0" t="0" r="0" b="0"/>
                      <wp:wrapNone/>
                      <wp:docPr id="472" name="Frame4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2023</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455,515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85.15</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95.42</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79.75</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88.76</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2024</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99.21</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150.91</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103.40</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116.34</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226.58</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162.20</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126.33</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241,735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156.11</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per-share weighted average grant-date fair value of RSUs granted under the OSI Plan was $95.42, $127.88, and $226.58 for fiscal 2024, 2025 and 2026, respectively. The total fair value of shares vested during fiscal 2024, 2025 and 2026 was $31.1 million, $41.3 million, and $55.0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2023, our shareholders approved an amendment to the OSI Plan, which increased the shares available under the OSI Plan by 2.4 million shares, resulting in a maximum pool of 9.5 million shares. As of June 30, 2026, there were approximately 1.6 million shares available for grant under the OSI Plan. Under the terms of the OSI Plan, RSUs and restricted stock granted from the pool of shares available for grant reduce the pool by 1.87 shares for each award granted. RSUs and restricted stock forfeited and returned to the pool of shares available for grant increase the pool by 1.87 shares for each award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
        </w:rPr>
      </w:pPr>
      <w:r>
        <w:rPr>
          <w:rFonts w:ascii="Times New Roman;Times;serif" w:hAnsi="Times New Roman;Times;serif"/>
          <w:sz w:val="20"/>
        </w:rPr>
        <w:t>We granted 75,988, 80,682, and 49,431</w:t>
      </w:r>
      <w:r>
        <w:rPr>
          <w:rFonts w:ascii="Times New Roman;Times;serif" w:hAnsi="Times New Roman;Times;serif"/>
          <w:sz w:val="2"/>
        </w:rPr>
        <w:t xml:space="preserve"> </w:t>
      </w:r>
      <w:r>
        <w:rPr>
          <w:rFonts w:ascii="Times New Roman;Times;serif" w:hAnsi="Times New Roman;Times;serif"/>
          <w:sz w:val="20"/>
        </w:rPr>
        <w:t>performance-based awards during fiscal 2024, 2025 and 2026, respectively. These performance-based RSU awards are contingent on the achievement of certain performance metrics. The payout related to these awards can range from zero</w:t>
      </w:r>
      <w:r>
        <w:rPr>
          <w:rFonts w:ascii="Times New Roman;Times;serif" w:hAnsi="Times New Roman;Times;serif"/>
          <w:sz w:val="2"/>
        </w:rPr>
        <w:t xml:space="preserve"> </w:t>
      </w:r>
      <w:r>
        <w:rPr>
          <w:rFonts w:ascii="Times New Roman;Times;serif" w:hAnsi="Times New Roman;Times;serif"/>
          <w:sz w:val="20"/>
        </w:rPr>
        <w:t>to 376%</w:t>
      </w:r>
      <w:r>
        <w:rPr>
          <w:rFonts w:ascii="Times New Roman;Times;serif" w:hAnsi="Times New Roman;Times;serif"/>
          <w:sz w:val="2"/>
        </w:rPr>
        <w:t xml:space="preserve"> </w:t>
      </w:r>
      <w:r>
        <w:rPr>
          <w:rFonts w:ascii="Times New Roman;Times;serif" w:hAnsi="Times New Roman;Times;serif"/>
          <w:sz w:val="20"/>
        </w:rPr>
        <w:t>of the original number of shares or units awarded. Compensation cost associated with these performance-</w:t>
      </w:r>
      <w:r>
        <w:rPr>
          <w:rFonts w:ascii="Times New Roman;Times;serif" w:hAnsi="Times New Roman;Times;serif"/>
          <w:sz w:val="2"/>
        </w:rPr>
        <w:t> </w:t>
      </w:r>
      <w:r>
        <w:rPr>
          <w:rFonts w:ascii="Times New Roman;Times;serif" w:hAnsi="Times New Roman;Times;serif"/>
          <w:sz w:val="20"/>
        </w:rPr>
        <w:t>based RSUs are recognized based on the estimated number of shares that we ultimately expect will vest. If the estimated number of shares to vest is revised in the future, then stock-based compensation expense will be adjusted accordingly.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an employee stock purchase plan under which eligible employees may purchase a limited number of shares of common stock at a discount of up to 15% of the market value of such stock at pre-determined, plan-defined dates. During the years ended June 30, 2024, 2025 and 2026, employees purchased 63,111, 53,697, 40,091 shares, respectively. As of June 30, 2026, there were 259,863 shares of our common stock available for issuance under the plan.</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Repurchase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September 2022, our Board of Directors increased the stock repurchase authorization to a total of two million shares of common stock. This program does not expire unless our Board of Directors acts to terminate the program. The timing and actual numbers of shares purchased depends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in our consolidated financial statements as a reduction in the number of shares of common stock issued and outstanding.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2026, we announced that our Board of Directors has approved an additional one million shares for repurchase under our stock repurchase program, increasing the total remaining authorization to 1,078,731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fiscal 2024, 2025 and 2026, we repurchased zero shares, 531,314 shares and 1,111,825 shares, respectively, of common stock under our then current programs. As of June 30, 2026, there were 78,731 shares remaining available for repurchase under the authorized repurchase program.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not paid any dividends since the consummation of our initial public offering in 1997 and we do not currently intend to pay any dividends in the foreseeable future. Our Board of Directors will determine the payment of future dividends, if any. Certain of our current bank credit facilities restrict the payment of dividends and future borrowings may contain similar restrictions.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1276" w:name="Tc_ZMLWEXAeGU-HlyCQVLI4Fg_5_8"/>
      <w:bookmarkStart w:id="1277" w:name="Tc_Cw-E-ucLLkqiQkslCtblHQ_5_5"/>
      <w:bookmarkStart w:id="1278" w:name="Tc_XWjrj1uhCkCS1dX3VT6neQ_5_2"/>
      <w:bookmarkStart w:id="1279" w:name="Tc_YYayGELKaEmaAOsQp4yLEQ_5_0"/>
      <w:bookmarkStart w:id="1280" w:name="Tc_HCFKfctlq0GIVFsJxpyZGA_4_0"/>
      <w:bookmarkStart w:id="1281" w:name="Tc_nIHseUbsKE2cvXHStsZyOA_3_8"/>
      <w:bookmarkStart w:id="1282" w:name="Tc_JY9sGpaF3Eumv_nTeMzCRg_3_5"/>
      <w:bookmarkStart w:id="1283" w:name="Tc_mh5Ao2hnpUqmC2wW7J2ZsA_3_2"/>
      <w:bookmarkStart w:id="1284" w:name="Tc_tbRBeyuiU0apnwPNslLh1Q_3_0"/>
      <w:bookmarkStart w:id="1285" w:name="Tc_WJnE8Fo2mkeMeaSuYunsVw_2_0"/>
      <w:bookmarkStart w:id="1286" w:name="Tc_JBKfEqpC8kq3AJlD687u6Q_1_8"/>
      <w:bookmarkStart w:id="1287" w:name="Tc_CaO1oqsPIEi5oORk6uEiPA_1_5"/>
      <w:bookmarkStart w:id="1288" w:name="Tc_P5ZPbH5iIEy_8WW-nbJr-w_1_2"/>
      <w:bookmarkStart w:id="1289" w:name="_22f71869_54ac_47f6_88a7_cae9f2c0836c"/>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r>
        <w:rPr>
          <w:rFonts w:ascii="Times New Roman;Times;serif" w:hAnsi="Times New Roman;Times;serif"/>
          <w:b/>
          <w:i w:val="false"/>
          <w:caps w:val="false"/>
          <w:smallCaps w:val="false"/>
          <w:sz w:val="20"/>
        </w:rPr>
        <w:t>10.</w:t>
      </w:r>
      <w:r>
        <w:rPr>
          <w:rFonts w:ascii="Times New Roman;Times;serif" w:hAnsi="Times New Roman;Times;serif"/>
          <w:b/>
          <w:sz w:val="20"/>
        </w:rPr>
        <w:t xml:space="preserve">INCOME TAXES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geographical breakdown of income before the provision for income taxes (in thousands):</w:t>
      </w:r>
    </w:p>
    <w:p>
      <w:pPr>
        <w:pStyle w:val="TextBody"/>
        <w:bidi w:val="0"/>
        <w:spacing w:before="0" w:after="0"/>
        <w:ind w:left="0" w:right="0" w:firstLine="720"/>
        <w:jc w:val="both"/>
        <w:rPr/>
      </w:pPr>
      <w:r>
        <w:rPr/>
        <w:t>​</w:t>
      </w:r>
    </w:p>
    <w:tbl>
      <w:tblPr>
        <w:tblW w:w="5935" w:type="dxa"/>
        <w:jc w:val="left"/>
        <w:tblInd w:w="0" w:type="dxa"/>
        <w:tblLayout w:type="fixed"/>
        <w:tblCellMar>
          <w:top w:w="0" w:type="dxa"/>
          <w:left w:w="0" w:type="dxa"/>
          <w:bottom w:w="0" w:type="dxa"/>
          <w:right w:w="0" w:type="dxa"/>
        </w:tblCellMar>
      </w:tblPr>
      <w:tblGrid>
        <w:gridCol w:w="1816"/>
        <w:gridCol w:w="346"/>
        <w:gridCol w:w="211"/>
        <w:gridCol w:w="781"/>
        <w:gridCol w:w="346"/>
        <w:gridCol w:w="211"/>
        <w:gridCol w:w="781"/>
        <w:gridCol w:w="346"/>
        <w:gridCol w:w="211"/>
        <w:gridCol w:w="88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153160" cy="175260"/>
                      <wp:effectExtent l="0" t="0" r="0" b="0"/>
                      <wp:wrapNone/>
                      <wp:docPr id="473" name="Frame47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4"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33985" cy="175260"/>
                      <wp:effectExtent l="0" t="0" r="0" b="0"/>
                      <wp:wrapNone/>
                      <wp:docPr id="475"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95935" cy="175260"/>
                      <wp:effectExtent l="0" t="0" r="0" b="0"/>
                      <wp:wrapNone/>
                      <wp:docPr id="476" name="Frame4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7"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78"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95935" cy="175260"/>
                      <wp:effectExtent l="0" t="0" r="0" b="0"/>
                      <wp:wrapNone/>
                      <wp:docPr id="479" name="Frame4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0"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1"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62610" cy="175260"/>
                      <wp:effectExtent l="0" t="0" r="0" b="0"/>
                      <wp:wrapNone/>
                      <wp:docPr id="482" name="Frame4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45,277</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147,469</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pre-tax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192,746</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1290" w:name="Tc_t9AN0vNlkk2VlmIoBd99Wg_8_2"/>
      <w:bookmarkStart w:id="1291" w:name="Tc_fAZRy-i430aKbO7aQfEcuQ_8_0"/>
      <w:bookmarkStart w:id="1292" w:name="Tc_XkxKjvJv3ka4Sek-b7hNvg_7_0"/>
      <w:bookmarkStart w:id="1293" w:name="Tc_qrdVRWmzYE2a71tDki989w_6_0"/>
      <w:bookmarkStart w:id="1294" w:name="Tc_bpdbmFXjtUyUZucGQ3nY7w_5_0"/>
      <w:bookmarkStart w:id="1295" w:name="Tc_pK0XGCWCdEKTn-I4q3yeig_4_0"/>
      <w:bookmarkStart w:id="1296" w:name="Tc_KWPJyZQua0KYCUyapB0lIA_3_0"/>
      <w:bookmarkStart w:id="1297" w:name="Tc_BVOEJ4DRc0OGxQCV37KUOA_1_2"/>
      <w:bookmarkStart w:id="1298" w:name="Tc_FKQMTRu9Lku9kXALfeXirQ_1_0"/>
      <w:bookmarkStart w:id="1299" w:name="_d5c89c3d_b0c0_42ea_b7ab_5cfe98268003"/>
      <w:bookmarkStart w:id="1300" w:name="Tc_BZHAmanPPUijOJxeyAxj9Q_12_8"/>
      <w:bookmarkStart w:id="1301" w:name="Tc_fYTbGVQxX0SgIMRMijEm_Q_12_5"/>
      <w:bookmarkStart w:id="1302" w:name="Tc_l8zU07ciWEyA6rh5B4CZ-g_12_2"/>
      <w:bookmarkStart w:id="1303" w:name="Tc_6BoNl-2VfEuX5kyZAx0Vzg_12_0"/>
      <w:bookmarkStart w:id="1304" w:name="Tc_YH_KL8Rl10KatSjQMtM7Ag_11_0"/>
      <w:bookmarkStart w:id="1305" w:name="Tc_9D3yveovmUyxpqjyYi_iMA_10_0"/>
      <w:bookmarkStart w:id="1306" w:name="Tc_euLhwW0WwUykIu1UWEA5ew_9_0"/>
      <w:bookmarkStart w:id="1307" w:name="Tc_qV7Sw7N_Z0K3nMHOGaXPYw_8_8"/>
      <w:bookmarkStart w:id="1308" w:name="Tc_-0QqfHRO20Owm234jIAjgg_8_5"/>
      <w:bookmarkStart w:id="1309" w:name="Tc_6YQkUVJPLky0Ro89Duc76Q_8_2"/>
      <w:bookmarkStart w:id="1310" w:name="Tc_-cCGgIjNP0WKCcBHpXj6fg_8_0"/>
      <w:bookmarkStart w:id="1311" w:name="Tc_K-e6HIjbmEGz8IBBkschiw_7_0"/>
      <w:bookmarkStart w:id="1312" w:name="Tc_YahvQRBY5Um9t_iMLkYayg_6_0"/>
      <w:bookmarkStart w:id="1313" w:name="Tc_URxHcM6P4kaE5orJvEyHQQ_5_0"/>
      <w:bookmarkStart w:id="1314" w:name="Tc_ypdPfg8ogk-KCfRGpn7JrA_4_0"/>
      <w:bookmarkStart w:id="1315" w:name="Tc_fhwr8_XqCEKex46qdcz0Jw_3_8"/>
      <w:bookmarkStart w:id="1316" w:name="Tc_2WQwplQxmUS0NpJMhdelag_3_5"/>
      <w:bookmarkStart w:id="1317" w:name="Tc_2wskVyVjC064yFTa6EXlDA_3_2"/>
      <w:bookmarkStart w:id="1318" w:name="Tc_AbZVrgn2SkKR8kBRIqZJIw_3_0"/>
      <w:bookmarkStart w:id="1319" w:name="Tc_55MgLUW3dk6idBHS96P1kg_2_0"/>
      <w:bookmarkStart w:id="1320" w:name="Tc_BDddBLSuakK57FBIwT8y2Q_1_8"/>
      <w:bookmarkStart w:id="1321" w:name="Tc_j0DmmvKiikuHKhrS7L-Bxw_1_5"/>
      <w:bookmarkStart w:id="1322" w:name="Tc_flZVWuB-AUSPuJZ1u31t6w_1_2"/>
      <w:bookmarkStart w:id="1323" w:name="_bb5612c1_2ab5_4355_abea_498fc7e2a7b4"/>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r>
        <w:rPr>
          <w:rFonts w:ascii="Times New Roman;Times;serif" w:hAnsi="Times New Roman;Times;serif"/>
          <w:sz w:val="20"/>
        </w:rPr>
        <w:t>Our provision for income taxes consists of the following (in thousands):</w:t>
      </w:r>
    </w:p>
    <w:p>
      <w:pPr>
        <w:pStyle w:val="TextBody"/>
        <w:bidi w:val="0"/>
        <w:spacing w:before="0" w:after="0"/>
        <w:ind w:left="0" w:right="0" w:firstLine="720"/>
        <w:jc w:val="both"/>
        <w:rPr/>
      </w:pPr>
      <w:r>
        <w:rPr/>
        <w:t>​</w:t>
      </w:r>
    </w:p>
    <w:tbl>
      <w:tblPr>
        <w:tblW w:w="5935" w:type="dxa"/>
        <w:jc w:val="left"/>
        <w:tblInd w:w="0" w:type="dxa"/>
        <w:tblLayout w:type="fixed"/>
        <w:tblCellMar>
          <w:top w:w="0" w:type="dxa"/>
          <w:left w:w="0" w:type="dxa"/>
          <w:bottom w:w="0" w:type="dxa"/>
          <w:right w:w="0" w:type="dxa"/>
        </w:tblCellMar>
      </w:tblPr>
      <w:tblGrid>
        <w:gridCol w:w="1996"/>
        <w:gridCol w:w="346"/>
        <w:gridCol w:w="211"/>
        <w:gridCol w:w="796"/>
        <w:gridCol w:w="346"/>
        <w:gridCol w:w="211"/>
        <w:gridCol w:w="691"/>
        <w:gridCol w:w="346"/>
        <w:gridCol w:w="211"/>
        <w:gridCol w:w="78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67460" cy="175260"/>
                      <wp:effectExtent l="0" t="0" r="0" b="0"/>
                      <wp:wrapNone/>
                      <wp:docPr id="483" name="Frame481"/>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4"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5"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05460" cy="175260"/>
                      <wp:effectExtent l="0" t="0" r="0" b="0"/>
                      <wp:wrapNone/>
                      <wp:docPr id="486" name="Frame4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7"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88"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38785" cy="175260"/>
                      <wp:effectExtent l="0" t="0" r="0" b="0"/>
                      <wp:wrapNone/>
                      <wp:docPr id="489" name="Frame4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0"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1" name="Frame4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95935" cy="175260"/>
                      <wp:effectExtent l="0" t="0" r="0" b="0"/>
                      <wp:wrapNone/>
                      <wp:docPr id="492" name="Frame4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8,583</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38,035</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income tax payments for the year ended June 30, 2026, after the prospective adoption of ASU 2023-09, consisted of the following:</w:t>
      </w:r>
    </w:p>
    <w:p>
      <w:pPr>
        <w:pStyle w:val="TextBody"/>
        <w:bidi w:val="0"/>
        <w:spacing w:before="0" w:after="0"/>
        <w:ind w:left="0" w:right="0" w:firstLine="720"/>
        <w:jc w:val="both"/>
        <w:rPr/>
      </w:pPr>
      <w:r>
        <w:rPr/>
        <w:t>​</w:t>
      </w:r>
    </w:p>
    <w:tbl>
      <w:tblPr>
        <w:tblW w:w="3904" w:type="dxa"/>
        <w:jc w:val="left"/>
        <w:tblInd w:w="0" w:type="dxa"/>
        <w:tblLayout w:type="fixed"/>
        <w:tblCellMar>
          <w:top w:w="0" w:type="dxa"/>
          <w:left w:w="0" w:type="dxa"/>
          <w:bottom w:w="0" w:type="dxa"/>
          <w:right w:w="0" w:type="dxa"/>
        </w:tblCellMar>
      </w:tblPr>
      <w:tblGrid>
        <w:gridCol w:w="2566"/>
        <w:gridCol w:w="346"/>
        <w:gridCol w:w="211"/>
        <w:gridCol w:w="78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629410" cy="175260"/>
                      <wp:effectExtent l="0" t="0" r="0" b="0"/>
                      <wp:wrapNone/>
                      <wp:docPr id="493" name="Frame49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4"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95"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95935" cy="175260"/>
                      <wp:effectExtent l="0" t="0" r="0" b="0"/>
                      <wp:wrapNone/>
                      <wp:docPr id="496" name="Frame4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 federal (1)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10,351</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 state and local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11,919</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6,277</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7,497</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43,000</w:t>
            </w:r>
          </w:p>
        </w:tc>
      </w:tr>
    </w:tbl>
    <w:tbl>
      <w:tblPr>
        <w:tblW w:w="9711" w:type="dxa"/>
        <w:jc w:val="left"/>
        <w:tblInd w:w="0" w:type="dxa"/>
        <w:tblLayout w:type="fixed"/>
        <w:tblCellMar>
          <w:top w:w="28" w:type="dxa"/>
          <w:left w:w="28" w:type="dxa"/>
          <w:bottom w:w="28" w:type="dxa"/>
          <w:right w:w="28" w:type="dxa"/>
        </w:tblCellMar>
      </w:tblPr>
      <w:tblGrid>
        <w:gridCol w:w="124"/>
        <w:gridCol w:w="331"/>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U.S. federal payments were reduced by foreign tax credits and research and development credits.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2025 and 2026, our liability for uncertain tax positions was $15.4 million and $15.2 million, respectively. The amount of unrecognized tax benefits that, if recognized, would affect the effective tax rate was $14.9 million as of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potential interest and penalties related to income tax matters in income tax expense. As of June 30, 2026, we have accrued $3.2  million for interest and penalties. Our uncertain tax positions are related to tax years that remain subject to examination by the relevant tax authorities. These include fiscal years after 2022 for federal purposes, fiscal years after 2021 for state purposes and fiscal years after 2018 for various foreign jurisdictions. Future developments, such as the settlement of income tax positions or the expiration of applicable statutes of limitation, could result in changes to our liability for unrecognized tax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1324" w:name="Tc_GddD-l4WMkiCOGUv7Nx7Lw_5_5"/>
      <w:bookmarkStart w:id="1325" w:name="Tc_9F-e1OZDEkKaTZuYiBKKcg_5_2"/>
      <w:bookmarkStart w:id="1326" w:name="Tc_PWo7e0y3KU-6C0CBhWr_8w_5_0"/>
      <w:bookmarkStart w:id="1327" w:name="Tc_7g8Utr703E6oODpdI6NZ7w_4_0"/>
      <w:bookmarkStart w:id="1328" w:name="Tc_kU89EzQVokevjCkFKwMmxQ_3_5"/>
      <w:bookmarkStart w:id="1329" w:name="Tc_DG7obolNxkKWBYMSz6Ms4Q_3_2"/>
      <w:bookmarkStart w:id="1330" w:name="Tc_wv5O1ESEAUa-fYEJwNT5nA_3_0"/>
      <w:bookmarkStart w:id="1331" w:name="Tc_ZP73hzkOhEekVmZHgLsZ0A_2_5"/>
      <w:bookmarkStart w:id="1332" w:name="Tc_eIS6e4Qbn0Wl2wq-RArQlQ_2_2"/>
      <w:bookmarkStart w:id="1333" w:name="Tc_9BTT_QyMrEyFsvXD8NJE7w_1_2"/>
      <w:bookmarkStart w:id="1334" w:name="_c7be7264_89cf_4998_8da3_676348e523bc"/>
      <w:bookmarkStart w:id="1335" w:name="Tc_kH0iBp0EpkWL53UG-WvHWA_23_5"/>
      <w:bookmarkStart w:id="1336" w:name="Tc_h65ut8gEyESGuwGah72nLQ_23_2"/>
      <w:bookmarkStart w:id="1337" w:name="Tc_xNwJaJ3Aq0-fnRA7qy7Gng_23_0"/>
      <w:bookmarkStart w:id="1338" w:name="Tc_nsdr2obFTEKMarUNwq2-uQ_22_0"/>
      <w:bookmarkStart w:id="1339" w:name="Tc_BbpygPGMZE6KJ9wnorA6UA_21_0"/>
      <w:bookmarkStart w:id="1340" w:name="Tc_AMb5pt3VWU-cgGRvXzZLaA_20_0"/>
      <w:bookmarkStart w:id="1341" w:name="Tc_NcoBpcRb10GmQNd0xU1qJg_19_0"/>
      <w:bookmarkStart w:id="1342" w:name="Tc_QCTud-8lC0GLR64X9rciEA_18_0"/>
      <w:bookmarkStart w:id="1343" w:name="Tc_6zdbcmf-KE-d6E-yWn12-Q_17_0"/>
      <w:bookmarkStart w:id="1344" w:name="Tc_bGO5jKDd5EOagV1LY7mFGQ_16_0"/>
      <w:bookmarkStart w:id="1345" w:name="Tc_lQx-aNrvPE6jmIbDMN1DHA_15_0"/>
      <w:bookmarkStart w:id="1346" w:name="Tc_75-0Bv-fdEeBD2UJMLsY9A_14_0"/>
      <w:bookmarkStart w:id="1347" w:name="Tc_dBXjTBB1aES1ElA6nOeJjA_13_0"/>
      <w:bookmarkStart w:id="1348" w:name="Tc_UEpNykWXuE6IcbRZEvHY1Q_12_0"/>
      <w:bookmarkStart w:id="1349" w:name="Tc_qfSUjsU0Mk2EBvgv8ofplw_11_0"/>
      <w:bookmarkStart w:id="1350" w:name="Tc_T9A8AmcOFkGZP8ALGad7sA_10_0"/>
      <w:bookmarkStart w:id="1351" w:name="Tc_YbrKAA6wGUqCeukZk26faw_9_0"/>
      <w:bookmarkStart w:id="1352" w:name="Tc_bGytV_IgIEOPXtmTIC2s_w_8_0"/>
      <w:bookmarkStart w:id="1353" w:name="Tc_fRtR8nn0hkyY6pmAnoMO-g_7_0"/>
      <w:bookmarkStart w:id="1354" w:name="Tc_R4tJW0sxq0SsWAEHocSmdw_6_0"/>
      <w:bookmarkStart w:id="1355" w:name="Tc_lNFE7fH6vEq09RaYsZ91pw_5_0"/>
      <w:bookmarkStart w:id="1356" w:name="Tc_Y6i2CejwxkO3q0GQzyXVwg_4_5"/>
      <w:bookmarkStart w:id="1357" w:name="Tc_n_i3jjeKa06QpsiuBvcqJQ_4_2"/>
      <w:bookmarkStart w:id="1358" w:name="Tc_Vq5wjcX5Aki3tJf3tMdfPQ_4_0"/>
      <w:bookmarkStart w:id="1359" w:name="Tc_MhSHpAK1aEylHLOJ-3hXpA_3_0"/>
      <w:bookmarkStart w:id="1360" w:name="Tc_0B8j-4MUCkaKgV1rgwmKgw_2_5"/>
      <w:bookmarkStart w:id="1361" w:name="Tc_3tTecIK5c0KkLpzfWTS96g_2_2"/>
      <w:bookmarkStart w:id="1362" w:name="Tc_NRzrvTKRGk2BwYBnMPcTMQ_1_2"/>
      <w:bookmarkStart w:id="1363" w:name="_f312abf4_6471_4de4_bd80_1ffc74dccd6e"/>
      <w:bookmarkStart w:id="1364" w:name="Tc_pEf_2Y2OtkG12XsAHgBd6Q_12_2"/>
      <w:bookmarkStart w:id="1365" w:name="Tc_1yUHwtn85ES5j33H0U8btw_12_0"/>
      <w:bookmarkStart w:id="1366" w:name="Tc_T_r4EHXNnEOduvgVGknJ5g_11_0"/>
      <w:bookmarkStart w:id="1367" w:name="Tc_tOjbN-XhDk2f74lyqWsg2Q_10_0"/>
      <w:bookmarkStart w:id="1368" w:name="Tc_ruslgVvF6kapGyNOIJXeug_9_0"/>
      <w:bookmarkStart w:id="1369" w:name="Tc_2zeZlU8xZEOmEJsip6GLyA_8_0"/>
      <w:bookmarkStart w:id="1370" w:name="Tc_hDSCpPhG7EypRU5Lau6buw_7_2"/>
      <w:bookmarkStart w:id="1371" w:name="Tc_1u6ZRYIrtkiueZ2MQAxSWw_7_0"/>
      <w:bookmarkStart w:id="1372" w:name="Tc_PCvrCdJbv0SCIvpYOoWdOw_6_0"/>
      <w:bookmarkStart w:id="1373" w:name="Tc_lLwlRow3FUy0EOlk-x_bKQ_5_0"/>
      <w:bookmarkStart w:id="1374" w:name="Tc_-_SUnAmrTUWAFP7k1aeDjw_4_0"/>
      <w:bookmarkStart w:id="1375" w:name="Tc__p_fHNHSxUGYckqq_PBFBw_3_0"/>
      <w:bookmarkStart w:id="1376" w:name="Tc_2ok0UKsFx0GF-4JrB4UcNA_2_0"/>
      <w:bookmarkStart w:id="1377" w:name="Tc_K6QtFf7e5km5EXpyCes8AA_1_2"/>
      <w:bookmarkStart w:id="1378" w:name="Tc_6cel7bCE-E2h9AjBmVF9sg_1_0"/>
      <w:bookmarkStart w:id="1379" w:name="_403b6d2d_21bb_4625_b92a_e41d9d24cf8c"/>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r>
        <w:rPr>
          <w:rFonts w:ascii="Times New Roman;Times;serif" w:hAnsi="Times New Roman;Times;serif"/>
          <w:sz w:val="20"/>
        </w:rPr>
        <w:t>A summary of activity of unrecognized tax benefits for fiscal 2025 and 2026 is as follows (in thousands).</w:t>
      </w:r>
    </w:p>
    <w:p>
      <w:pPr>
        <w:pStyle w:val="TextBody"/>
        <w:bidi w:val="0"/>
        <w:spacing w:before="0" w:after="0"/>
        <w:ind w:left="0" w:right="0" w:firstLine="720"/>
        <w:jc w:val="both"/>
        <w:rPr/>
      </w:pPr>
      <w:r>
        <w:rPr/>
        <w:t>​</w:t>
      </w:r>
    </w:p>
    <w:tbl>
      <w:tblPr>
        <w:tblW w:w="7069" w:type="dxa"/>
        <w:jc w:val="left"/>
        <w:tblInd w:w="0" w:type="dxa"/>
        <w:tblLayout w:type="fixed"/>
        <w:tblCellMar>
          <w:top w:w="0" w:type="dxa"/>
          <w:left w:w="0" w:type="dxa"/>
          <w:bottom w:w="0" w:type="dxa"/>
          <w:right w:w="0" w:type="dxa"/>
        </w:tblCellMar>
      </w:tblPr>
      <w:tblGrid>
        <w:gridCol w:w="5731"/>
        <w:gridCol w:w="346"/>
        <w:gridCol w:w="211"/>
        <w:gridCol w:w="781"/>
      </w:tblGrid>
      <w:tr>
        <w:trPr/>
        <w:tc>
          <w:tcPr>
            <w:tcW w:w="5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3639185" cy="175260"/>
                      <wp:effectExtent l="0" t="0" r="0" b="0"/>
                      <wp:wrapNone/>
                      <wp:docPr id="497" name="Frame495"/>
                      <a:graphic xmlns:a="http://schemas.openxmlformats.org/drawingml/2006/main">
                        <a:graphicData uri="http://schemas.microsoft.com/office/word/2010/wordprocessingShape">
                          <wps:wsp>
                            <wps:cNvSpPr txBox="1"/>
                            <wps:spPr>
                              <a:xfrm>
                                <a:off x="0" y="0"/>
                                <a:ext cx="3639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498"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499"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95935" cy="175260"/>
                      <wp:effectExtent l="0" t="0" r="0" b="0"/>
                      <wp:wrapNone/>
                      <wp:docPr id="500" name="Frame4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17,914</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on tax positions for the current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on tax positions from prior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 in tax positions from prior year for dispute settlements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to prior year tax positions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 to prior year tax positions for statute of limitations closure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15,593</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on tax positions for the current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on tax positions from prior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 to prior year tax positions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5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 to prior year tax positions for statute of limitations closure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14,912</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Deferred income tax assets (liabilities) consisted of the following (in thousands):</w:t>
      </w:r>
    </w:p>
    <w:p>
      <w:pPr>
        <w:pStyle w:val="TextBody"/>
        <w:bidi w:val="0"/>
        <w:spacing w:before="0" w:after="0"/>
        <w:ind w:left="0" w:right="0" w:firstLine="720"/>
        <w:jc w:val="both"/>
        <w:rPr/>
      </w:pPr>
      <w:r>
        <w:rPr/>
        <w:t>​</w:t>
      </w:r>
    </w:p>
    <w:tbl>
      <w:tblPr>
        <w:tblW w:w="6967" w:type="dxa"/>
        <w:jc w:val="left"/>
        <w:tblInd w:w="0" w:type="dxa"/>
        <w:tblLayout w:type="fixed"/>
        <w:tblCellMar>
          <w:top w:w="0" w:type="dxa"/>
          <w:left w:w="0" w:type="dxa"/>
          <w:bottom w:w="0" w:type="dxa"/>
          <w:right w:w="0" w:type="dxa"/>
        </w:tblCellMar>
      </w:tblPr>
      <w:tblGrid>
        <w:gridCol w:w="4216"/>
        <w:gridCol w:w="346"/>
        <w:gridCol w:w="211"/>
        <w:gridCol w:w="796"/>
        <w:gridCol w:w="34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677160" cy="175260"/>
                      <wp:effectExtent l="0" t="0" r="0" b="0"/>
                      <wp:wrapNone/>
                      <wp:docPr id="501" name="Frame49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2"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3"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05460" cy="175260"/>
                      <wp:effectExtent l="0" t="0" r="0" b="0"/>
                      <wp:wrapNone/>
                      <wp:docPr id="504" name="Frame5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5"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506" name="Frame5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34035" cy="175260"/>
                      <wp:effectExtent l="0" t="0" r="0" b="0"/>
                      <wp:wrapNone/>
                      <wp:docPr id="507" name="Frame50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 carryforwards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6,768</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3,197</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advances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8,100</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and deferred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69,570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(11,352)</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income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58,218</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(8,621)</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(13,280)</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tax on unrepatriated foreign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ROU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(43,761)</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income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14,457</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components of the net deferred income tax asset are classified in the consolidated balance sheets as follows (in thousands):</w:t>
      </w:r>
    </w:p>
    <w:p>
      <w:pPr>
        <w:pStyle w:val="TextBody"/>
        <w:bidi w:val="0"/>
        <w:spacing w:before="0" w:after="0"/>
        <w:ind w:left="0" w:right="0" w:firstLine="720"/>
        <w:jc w:val="both"/>
        <w:rPr/>
      </w:pPr>
      <w:r>
        <w:rPr/>
        <w:t>​</w:t>
      </w:r>
    </w:p>
    <w:tbl>
      <w:tblPr>
        <w:tblW w:w="7627" w:type="dxa"/>
        <w:jc w:val="left"/>
        <w:tblInd w:w="0" w:type="dxa"/>
        <w:tblLayout w:type="fixed"/>
        <w:tblCellMar>
          <w:top w:w="0" w:type="dxa"/>
          <w:left w:w="0" w:type="dxa"/>
          <w:bottom w:w="0" w:type="dxa"/>
          <w:right w:w="0" w:type="dxa"/>
        </w:tblCellMar>
      </w:tblPr>
      <w:tblGrid>
        <w:gridCol w:w="5041"/>
        <w:gridCol w:w="346"/>
        <w:gridCol w:w="211"/>
        <w:gridCol w:w="691"/>
        <w:gridCol w:w="346"/>
        <w:gridCol w:w="211"/>
        <w:gridCol w:w="78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3201035" cy="175260"/>
                      <wp:effectExtent l="0" t="0" r="0" b="0"/>
                      <wp:wrapNone/>
                      <wp:docPr id="508" name="Frame506"/>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09"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0" name="Frame5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38785" cy="175260"/>
                      <wp:effectExtent l="0" t="0" r="0" b="0"/>
                      <wp:wrapNone/>
                      <wp:docPr id="511" name="Frame5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2"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3985" cy="175260"/>
                      <wp:effectExtent l="0" t="0" r="0" b="0"/>
                      <wp:wrapNone/>
                      <wp:docPr id="513" name="Frame5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95935" cy="175260"/>
                      <wp:effectExtent l="0" t="0" r="0" b="0"/>
                      <wp:wrapNone/>
                      <wp:docPr id="514" name="Frame5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 deferred income tax asset, included in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19,920</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 deferred income tax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w:t>
            </w:r>
          </w:p>
        </w:tc>
      </w:tr>
      <w:tr>
        <w:trPr/>
        <w:tc>
          <w:tcPr>
            <w:tcW w:w="5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income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14,457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1380" w:name="Tc_B794vvlaTEqoAzTkBNI0iA_20_6"/>
      <w:bookmarkStart w:id="1381" w:name="Tc_IdBM89wcOUiA-jgyQqsZKA_20_2"/>
      <w:bookmarkStart w:id="1382" w:name="Tc_5rOWIxLQ10ecJ0l3DvmMlg_19_0"/>
      <w:bookmarkStart w:id="1383" w:name="Tc_U3DHz5FZZkqiVBaDVgB5dw_18_0"/>
      <w:bookmarkStart w:id="1384" w:name="Tc_InBK8wmVnkyIIWVxYyGpig_17_0"/>
      <w:bookmarkStart w:id="1385" w:name="Tc_T0eyPcEcG0Sl9J9_1Yv42Q_16_0"/>
      <w:bookmarkStart w:id="1386" w:name="Tc_PcYQtVsBIEeb6ZvHqJPwvQ_15_0"/>
      <w:bookmarkStart w:id="1387" w:name="Tc_VwzwPRzQ70WfhIpGlVlM2g_14_0"/>
      <w:bookmarkStart w:id="1388" w:name="Tc_GMOyI4RhL02K4sHpoi65wg_13_0"/>
      <w:bookmarkStart w:id="1389" w:name="Tc_GqLcgnMlTU26sW4Ay0rpfg_12_0"/>
      <w:bookmarkStart w:id="1390" w:name="Tc_T1T43pwhQ02SdavpcdqJwg_11_0"/>
      <w:bookmarkStart w:id="1391" w:name="Tc_PkHMgePA_kub0eot48DJag_10_0"/>
      <w:bookmarkStart w:id="1392" w:name="Tc_3VrCdfcnO0CJDWdwx4adUg_9_0"/>
      <w:bookmarkStart w:id="1393" w:name="Tc_sDJfDO-4J0yEZq6ITR8xHA_8_0"/>
      <w:bookmarkStart w:id="1394" w:name="Tc_565G_o5MFkG-L9xx6xl6dA_7_0"/>
      <w:bookmarkStart w:id="1395" w:name="Tc_CsjneQeR00iK_rrQo9RZKw_6_0"/>
      <w:bookmarkStart w:id="1396" w:name="Tc_vCxTqFu8ykql4K2ttv_mqg_5_0"/>
      <w:bookmarkStart w:id="1397" w:name="Tc_TvYV7BDKjESb6y1Ahvu3bw_4_0"/>
      <w:bookmarkStart w:id="1398" w:name="Tc_c0Jw6hWZNEu2mJN41IpSSg_3_6"/>
      <w:bookmarkStart w:id="1399" w:name="Tc_8R7vaImhV0qEOox_nWQndw_3_2"/>
      <w:bookmarkStart w:id="1400" w:name="Tc_fU6OS78oNEqX0xjsG4p9vQ_3_0"/>
      <w:bookmarkStart w:id="1401" w:name="Tc_FOOk9XpQMEOyZSrxR4xC8A_2_2"/>
      <w:bookmarkStart w:id="1402" w:name="Tc_uexhNBcTPU-0h81wgW1oRQ_1_2"/>
      <w:bookmarkStart w:id="1403" w:name="_6aab99c6_f2ba_48e1_af7c_a86392d3b5ce"/>
      <w:bookmarkStart w:id="1404" w:name="Tc_me5ik7_kZkCNFS6ji9MTKw_5_5"/>
      <w:bookmarkStart w:id="1405" w:name="Tc_9adXVi8NwkmwsLA5WKlIuw_5_2"/>
      <w:bookmarkStart w:id="1406" w:name="Tc_CgYk4WlUFE-0Q6xm1TNf5g_5_0"/>
      <w:bookmarkStart w:id="1407" w:name="Tc_6GHUv3rtw0OtmHkNdFtdJA_4_0"/>
      <w:bookmarkStart w:id="1408" w:name="Tc__FNydHQnBk6j5AJ98TtQQg_3_5"/>
      <w:bookmarkStart w:id="1409" w:name="Tc_kO3FwF-OA0auE3gmqUsDEQ_3_2"/>
      <w:bookmarkStart w:id="1410" w:name="Tc_kl4dh_bKGUaLzMIp3h2esA_3_0"/>
      <w:bookmarkStart w:id="1411" w:name="Tc_Zw_didO4C0i4CwdRTW3PGg_2_5"/>
      <w:bookmarkStart w:id="1412" w:name="Tc_aLBaaKFTrUWm3D5DhgMdWg_2_2"/>
      <w:bookmarkStart w:id="1413" w:name="Tc_44TFxhjGjESnBAYh_vAKpA_1_2"/>
      <w:bookmarkStart w:id="1414" w:name="_fdcae39e_64f1_4923_85b0_80aa5758c256"/>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sz w:val="20"/>
        </w:rPr>
        <w:t>The components of current taxes receivable and payable and prepaid taxes are classified in the consolidated balance sheets as follows (in thousands):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7462"/>
        <w:gridCol w:w="346"/>
        <w:gridCol w:w="211"/>
        <w:gridCol w:w="791"/>
        <w:gridCol w:w="346"/>
        <w:gridCol w:w="211"/>
        <w:gridCol w:w="838"/>
      </w:tblGrid>
      <w:tr>
        <w:trPr/>
        <w:tc>
          <w:tcPr>
            <w:tcW w:w="7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738370" cy="175260"/>
                      <wp:effectExtent l="0" t="0" r="0" b="0"/>
                      <wp:wrapNone/>
                      <wp:docPr id="515" name="Frame513"/>
                      <a:graphic xmlns:a="http://schemas.openxmlformats.org/drawingml/2006/main">
                        <a:graphicData uri="http://schemas.microsoft.com/office/word/2010/wordprocessingShape">
                          <wps:wsp>
                            <wps:cNvSpPr txBox="1"/>
                            <wps:spPr>
                              <a:xfrm>
                                <a:off x="0" y="0"/>
                                <a:ext cx="4738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6"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7" name="Frame5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02285" cy="175260"/>
                      <wp:effectExtent l="0" t="0" r="0" b="0"/>
                      <wp:wrapNone/>
                      <wp:docPr id="518" name="Frame51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19"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0" name="Frame5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532130" cy="175260"/>
                      <wp:effectExtent l="0" t="0" r="0" b="0"/>
                      <wp:wrapNone/>
                      <wp:docPr id="521" name="Frame519"/>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4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4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taxes receivable and prepaid taxes, included in 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16,352</w:t>
            </w:r>
          </w:p>
        </w:tc>
      </w:tr>
      <w:tr>
        <w:trPr/>
        <w:tc>
          <w:tcPr>
            <w:tcW w:w="746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taxes payable, included in other accrued expenses and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(23,266)</w:t>
            </w:r>
          </w:p>
        </w:tc>
      </w:tr>
      <w:tr>
        <w:trPr/>
        <w:tc>
          <w:tcPr>
            <w:tcW w:w="74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(6,914)</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we had federal, state and foreign net operating losses carryforwards of approximately $0.3 million, $17.2 million and $7.7 million, respectively. Our net operating loss carryforwards will begin to expire in the tax year ending June 30, 2028. As of June 30, 2026, we had federal and state tax credit carryforwards of approximately $3.8 million and $6.8 million, respectively. Our credit carryforwards will begin to expire in the tax year ending June 30, 2032.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valuation allowances that relate to the net operating losses of certain subsidiaries, capital losses, and tax credits. During the year ended June 30, 2026, we recorded an aggregate net increase of $0.9 million to these valuation allowances. We evaluate the need for valuation allowances on a jurisdiction-by-jurisdiction basis and release such allowances when sufficient positive evidence exists to conclude that it is more likely than not that the deferred tax assets will be realized.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recognized all excess tax benefits and tax deficiencies related to equity-based compensation as a component of income tax expense or benefit in the period in which they occur, in accordance with ASC 718. An income tax benefit of approximately $1.7 and $2.1 million was recognized in fiscal 2025 and 2026,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effective income tax rate differs from the federal statutory income tax rate due primarily to the following:</w:t>
      </w:r>
    </w:p>
    <w:p>
      <w:pPr>
        <w:pStyle w:val="TextBody"/>
        <w:bidi w:val="0"/>
        <w:spacing w:before="0" w:after="0"/>
        <w:ind w:left="0" w:right="0" w:hanging="0"/>
        <w:jc w:val="left"/>
        <w:rPr/>
      </w:pPr>
      <w:r>
        <w:rPr/>
        <w:t>​</w:t>
      </w:r>
    </w:p>
    <w:tbl>
      <w:tblPr>
        <w:tblW w:w="7012" w:type="dxa"/>
        <w:jc w:val="left"/>
        <w:tblInd w:w="0" w:type="dxa"/>
        <w:tblLayout w:type="fixed"/>
        <w:tblCellMar>
          <w:top w:w="0" w:type="dxa"/>
          <w:left w:w="0" w:type="dxa"/>
          <w:bottom w:w="0" w:type="dxa"/>
          <w:right w:w="0" w:type="dxa"/>
        </w:tblCellMar>
      </w:tblPr>
      <w:tblGrid>
        <w:gridCol w:w="4621"/>
        <w:gridCol w:w="346"/>
        <w:gridCol w:w="211"/>
        <w:gridCol w:w="691"/>
        <w:gridCol w:w="346"/>
        <w:gridCol w:w="481"/>
        <w:gridCol w:w="316"/>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934335" cy="175260"/>
                      <wp:effectExtent l="0" t="0" r="0" b="0"/>
                      <wp:wrapNone/>
                      <wp:docPr id="522" name="Frame520"/>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3"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4"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38785" cy="175260"/>
                      <wp:effectExtent l="0" t="0" r="0" b="0"/>
                      <wp:wrapNone/>
                      <wp:docPr id="525" name="Frame5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6"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305435" cy="175260"/>
                      <wp:effectExtent l="0" t="0" r="0" b="0"/>
                      <wp:wrapNone/>
                      <wp:docPr id="527" name="Frame52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0660" cy="175260"/>
                      <wp:effectExtent l="0" t="0" r="0" b="0"/>
                      <wp:wrapNone/>
                      <wp:docPr id="528" name="Frame5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16" w:type="dxa"/>
            <w:tcBorders/>
            <w:vAlign w:val="center"/>
          </w:tcPr>
          <w:p>
            <w:pPr>
              <w:pStyle w:val="TableContents"/>
              <w:bidi w:val="0"/>
              <w:spacing w:before="0" w:after="0"/>
              <w:ind w:left="0" w:right="0" w:hanging="0"/>
              <w:jc w:val="left"/>
              <w:rPr/>
            </w:pPr>
            <w:r>
              <w:rPr/>
              <w:t> </w: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income taxes at federal statutory rate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40,477</w:t>
            </w:r>
          </w:p>
        </w:tc>
        <w:tc>
          <w:tcPr>
            <w:tcW w:w="346" w:type="dxa"/>
            <w:tcBorders/>
            <w:shd w:fill="CCEEFF" w:val="clear"/>
            <w:vAlign w:val="center"/>
          </w:tcPr>
          <w:p>
            <w:pPr>
              <w:pStyle w:val="TableContents"/>
              <w:bidi w:val="0"/>
              <w:spacing w:before="0" w:after="0"/>
              <w:ind w:left="0" w:right="0" w:hanging="0"/>
              <w:jc w:val="left"/>
              <w:rPr/>
            </w:pPr>
            <w:r>
              <w:rPr/>
              <w:t>  ​ ​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 tax expense, net of federal income tax benefit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Foreign tax effects: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United Kingdom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 box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foreign jurisdictions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cross-border tax laws: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Derived Intangible Income (FDII)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effects of cross-border tax laws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Nontaxable or nondeductible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Officers’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unrecognized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income tax rate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38,035</w:t>
            </w:r>
          </w:p>
        </w:tc>
        <w:tc>
          <w:tcPr>
            <w:tcW w:w="346" w:type="dxa"/>
            <w:tcBorders/>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0"/>
              </w:rPr>
              <w:t xml:space="preserve">Massachusetts, Minnesota, New York, and Texas made up the majority (greater than </w:t>
            </w:r>
            <w:r>
              <w:rPr>
                <w:rFonts w:ascii="Times New Roman;Times;serif" w:hAnsi="Times New Roman;Times;serif"/>
                <w:b w:val="false"/>
                <w:i w:val="false"/>
                <w:caps w:val="false"/>
                <w:smallCaps w:val="false"/>
                <w:sz w:val="20"/>
              </w:rPr>
              <w:t>50%</w:t>
            </w:r>
            <w:r>
              <w:rPr>
                <w:rFonts w:ascii="Times New Roman;Times;serif" w:hAnsi="Times New Roman;Times;serif"/>
                <w:sz w:val="24"/>
              </w:rPr>
              <w:t xml:space="preserve"> </w:t>
            </w:r>
            <w:r>
              <w:rPr>
                <w:rFonts w:ascii="Times New Roman;Times;serif" w:hAnsi="Times New Roman;Times;serif"/>
                <w:sz w:val="20"/>
              </w:rPr>
              <w:t>of the tax expense in this category).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1415" w:name="Tc_-jCqHQyujkaZvDZqIBlfXw_17_5"/>
      <w:bookmarkStart w:id="1416" w:name="Tc_Sjsb9hOZUkapJpYjY4ofjA_17_3"/>
      <w:bookmarkStart w:id="1417" w:name="Tc_6eDTsx-h9kuwmcyooSZMWA_17_0"/>
      <w:bookmarkStart w:id="1418" w:name="Tc_wEmUEagZiESYGB8HOHoNxg_16_0"/>
      <w:bookmarkStart w:id="1419" w:name="Tc_5aENqHI2oESEx3gICVOfhQ_15_0"/>
      <w:bookmarkStart w:id="1420" w:name="Tc_41ntb_o800aHNihaINX8zA_14_0"/>
      <w:bookmarkStart w:id="1421" w:name="Tc_05z0BW_56U6SiHweQckecQ_13_0"/>
      <w:bookmarkStart w:id="1422" w:name="Tc_0gpu2lHy0EKG5hE0mKz1mQ_12_0"/>
      <w:bookmarkStart w:id="1423" w:name="Tc_IWlX7dH9l0iiKhDEMZe6wA_11_0"/>
      <w:bookmarkStart w:id="1424" w:name="Tc_bgtnhK2qHkWEFaK7xovdPQ_10_0"/>
      <w:bookmarkStart w:id="1425" w:name="Tc_ZkH5PcelJ0G98kt0s_lu2Q_9_0"/>
      <w:bookmarkStart w:id="1426" w:name="Tc_iGWkwb0zaEiniiOZk2hw3A_8_0"/>
      <w:bookmarkStart w:id="1427" w:name="Tc_MixYnizJx0CvJrtaQYsn2A_7_0"/>
      <w:bookmarkStart w:id="1428" w:name="Tc_jNRX1QhI8U-b0x_zOB2shw_6_0"/>
      <w:bookmarkStart w:id="1429" w:name="Tc_i2uL4Ay6Jk-7atJSILZhpA_5_0"/>
      <w:bookmarkStart w:id="1430" w:name="Tc_KmHhK5iKeUSg7CF3_opwyQ_4_0"/>
      <w:bookmarkStart w:id="1431" w:name="Tc_4-zVJNVxyE-7Ho6ePdpFxg_3_0"/>
      <w:bookmarkStart w:id="1432" w:name="Tc_rbrtEe9nF0eP_qNRPhtxJg_2_5"/>
      <w:bookmarkStart w:id="1433" w:name="Tc_0MJusk8kSU2YXtBDo7gFQA_2_3"/>
      <w:bookmarkStart w:id="1434" w:name="Tc_3ucddoBof0O2u4Qm5aHrWw_2_0"/>
      <w:bookmarkStart w:id="1435" w:name="Tc_FR3fWHzKdUOGEtx2jeqXyg_1_4"/>
      <w:bookmarkStart w:id="1436" w:name="Tc_yo98Re97KU-p7A5G7BjkNg_1_2"/>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r>
        <w:rPr>
          <w:rFonts w:ascii="Times New Roman;Times;serif" w:hAnsi="Times New Roman;Times;serif"/>
          <w:sz w:val="20"/>
        </w:rPr>
        <w:t>The following table provides the disclosures required before adopting ASU 2023-09 and reconciles our effective tax rate with the U.S. federal tax rate:</w:t>
      </w:r>
    </w:p>
    <w:p>
      <w:pPr>
        <w:pStyle w:val="TextBody"/>
        <w:bidi w:val="0"/>
        <w:spacing w:before="0" w:after="0"/>
        <w:ind w:left="0" w:right="0" w:firstLine="720"/>
        <w:jc w:val="both"/>
        <w:rPr/>
      </w:pPr>
      <w:r>
        <w:rPr/>
        <w:t>​</w:t>
      </w:r>
    </w:p>
    <w:tbl>
      <w:tblPr>
        <w:tblW w:w="7296" w:type="dxa"/>
        <w:jc w:val="left"/>
        <w:tblInd w:w="0" w:type="dxa"/>
        <w:tblLayout w:type="fixed"/>
        <w:tblCellMar>
          <w:top w:w="0" w:type="dxa"/>
          <w:left w:w="0" w:type="dxa"/>
          <w:bottom w:w="0" w:type="dxa"/>
          <w:right w:w="0" w:type="dxa"/>
        </w:tblCellMar>
      </w:tblPr>
      <w:tblGrid>
        <w:gridCol w:w="5311"/>
        <w:gridCol w:w="346"/>
        <w:gridCol w:w="481"/>
        <w:gridCol w:w="361"/>
        <w:gridCol w:w="481"/>
        <w:gridCol w:w="316"/>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3372485" cy="175260"/>
                      <wp:effectExtent l="0" t="0" r="0" b="0"/>
                      <wp:wrapNone/>
                      <wp:docPr id="529" name="Frame527"/>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19710" cy="175260"/>
                      <wp:effectExtent l="0" t="0" r="0" b="0"/>
                      <wp:wrapNone/>
                      <wp:docPr id="530"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05435" cy="175260"/>
                      <wp:effectExtent l="0" t="0" r="0" b="0"/>
                      <wp:wrapNone/>
                      <wp:docPr id="531" name="Frame52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29235" cy="175260"/>
                      <wp:effectExtent l="0" t="0" r="0" b="0"/>
                      <wp:wrapNone/>
                      <wp:docPr id="532" name="Frame5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05435" cy="175260"/>
                      <wp:effectExtent l="0" t="0" r="0" b="0"/>
                      <wp:wrapNone/>
                      <wp:docPr id="533" name="Frame53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0660" cy="175260"/>
                      <wp:effectExtent l="0" t="0" r="0" b="0"/>
                      <wp:wrapNone/>
                      <wp:docPr id="534" name="Frame53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 at federal statutory rate</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income subject to tax at other than federal statutory rate</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Officers’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 expense</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tax on foreign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prior year estimates</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intangible low-taxed income, net of foreign 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Derived Intangible Income Benefit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earnings from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 box benefit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vAlign w:val="center"/>
          </w:tcPr>
          <w:p>
            <w:pPr>
              <w:pStyle w:val="TableContents"/>
              <w:bidi w:val="0"/>
              <w:spacing w:before="0" w:after="0"/>
              <w:ind w:left="0" w:right="0" w:hanging="0"/>
              <w:jc w:val="lef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income tax rate</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provision for income taxes consists of provisions for federal, state, and foreign income taxes. We operate in an international environment with significant operations in various locations outside the U.S. Accordingly, the consolidated income tax rate is a composite rate reflecting the earnings in the various locations and the applicable rates.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437" w:name="Tc_d8evOVJU9keRUCVRLbxz9A_6_2"/>
      <w:bookmarkStart w:id="1438" w:name="Tc_BwWDByHrdkaCwpULtsH0_g_6_0"/>
      <w:bookmarkStart w:id="1439" w:name="Tc_d7GFTyt0jUGwFSlSGLQogg_5_0"/>
      <w:bookmarkStart w:id="1440" w:name="Tc_xxZvZ7TVI0uuWYnumhNmzg_4_0"/>
      <w:bookmarkStart w:id="1441" w:name="Tc_Hw8oabJ-V0yHN7vC-c_svw_3_0"/>
      <w:bookmarkStart w:id="1442" w:name="Tc_GQPoPzGmQ0KZz-aDKJUefQ_2_0"/>
      <w:bookmarkStart w:id="1443" w:name="Tc_UChgHVB-oUacScoI3y71vg_1_2"/>
      <w:bookmarkStart w:id="1444" w:name="Tc_bano7jFI5EuhfaN7G9bb1A_1_0"/>
      <w:bookmarkStart w:id="1445" w:name="_da331394_87f4_4003_9dd3_5b169e1dfa10"/>
      <w:bookmarkEnd w:id="1437"/>
      <w:bookmarkEnd w:id="1438"/>
      <w:bookmarkEnd w:id="1439"/>
      <w:bookmarkEnd w:id="1440"/>
      <w:bookmarkEnd w:id="1441"/>
      <w:bookmarkEnd w:id="1442"/>
      <w:bookmarkEnd w:id="1443"/>
      <w:bookmarkEnd w:id="1444"/>
      <w:bookmarkEnd w:id="1445"/>
      <w:r>
        <w:rPr>
          <w:rFonts w:ascii="Times New Roman;Times;serif" w:hAnsi="Times New Roman;Times;serif"/>
          <w:b/>
          <w:i w:val="false"/>
          <w:caps w:val="false"/>
          <w:smallCaps w:val="false"/>
          <w:sz w:val="20"/>
        </w:rPr>
        <w:t>11.</w:t>
      </w:r>
      <w:r>
        <w:rPr>
          <w:rFonts w:ascii="Times New Roman;Times;serif" w:hAnsi="Times New Roman;Times;serif"/>
          <w:b/>
          <w:sz w:val="20"/>
        </w:rPr>
        <w:t>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Acquisition-Related Contingent Obligations</w:t>
      </w:r>
      <w:r>
        <w:rPr>
          <w:rFonts w:ascii="Times New Roman;Times;serif" w:hAnsi="Times New Roman;Times;serif"/>
          <w:sz w:val="20"/>
        </w:rPr>
        <w:t xml:space="preserve">—Under the terms and conditions of the purchase agreements associated with certain acquisitions, we may be obligated to make additional payments based on the achievement of certain sales or profitability milestones through the acquired operations. For agreements that contain contingent consideration caps, the remaining maximum amount of such potential future payments was $51.9 million as of June 30, 2026.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These projections and probabilities are used to estimate future contingent earnout payments, which are discounted back to present value to compute contingent earnout liabilities. The following table provides a roll-forward from June 30, 2025 to June 30, 2026 of the contingent consideration liability, which is included in other accrued expenses and current liabilities, and other long-term liabilities in our consolidated balance sheets (in thousands):</w:t>
      </w:r>
    </w:p>
    <w:p>
      <w:pPr>
        <w:pStyle w:val="TextBody"/>
        <w:bidi w:val="0"/>
        <w:spacing w:before="0" w:after="0"/>
        <w:ind w:left="0" w:right="0" w:firstLine="720"/>
        <w:jc w:val="both"/>
        <w:rPr/>
      </w:pPr>
      <w:r>
        <w:rPr/>
        <w:t>​</w:t>
      </w:r>
    </w:p>
    <w:tbl>
      <w:tblPr>
        <w:tblW w:w="6079" w:type="dxa"/>
        <w:jc w:val="left"/>
        <w:tblInd w:w="0" w:type="dxa"/>
        <w:tblLayout w:type="fixed"/>
        <w:tblCellMar>
          <w:top w:w="0" w:type="dxa"/>
          <w:left w:w="0" w:type="dxa"/>
          <w:bottom w:w="0" w:type="dxa"/>
          <w:right w:w="0" w:type="dxa"/>
        </w:tblCellMar>
      </w:tblPr>
      <w:tblGrid>
        <w:gridCol w:w="4681"/>
        <w:gridCol w:w="346"/>
        <w:gridCol w:w="211"/>
        <w:gridCol w:w="84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972435" cy="175260"/>
                      <wp:effectExtent l="0" t="0" r="0" b="0"/>
                      <wp:wrapNone/>
                      <wp:docPr id="535" name="Frame533"/>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6"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33985" cy="175260"/>
                      <wp:effectExtent l="0" t="0" r="0" b="0"/>
                      <wp:wrapNone/>
                      <wp:docPr id="537" name="Frame5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fair value, June 30, 2025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19,086</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 of contingent earnout obligations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9,702</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for contingent earnout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(10,120)</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fair value,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18,112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Advances from Customers</w:t>
      </w:r>
      <w:r>
        <w:rPr>
          <w:rFonts w:ascii="Times New Roman;Times;serif" w:hAnsi="Times New Roman;Times;serif"/>
          <w:sz w:val="20"/>
        </w:rPr>
        <w:t xml:space="preserve">—We receive advances from customers associated with certain contracts. These advances are paid in cash by customers, and we account for these as liabilities until our contractual obligations are complete.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i/>
          <w:sz w:val="20"/>
        </w:rPr>
        <w:t>Guarantees—</w:t>
      </w:r>
      <w:r>
        <w:rPr>
          <w:rFonts w:ascii="Times New Roman;Times;serif" w:hAnsi="Times New Roman;Times;serif"/>
          <w:sz w:val="20"/>
        </w:rPr>
        <w:t>We are periodically required to provide performance bonds to do business with certain customers. These arrangements are common in the industry and generally have terms ranging between one year</w:t>
      </w:r>
      <w:r>
        <w:rPr>
          <w:rFonts w:ascii="Times New Roman;Times;serif" w:hAnsi="Times New Roman;Times;serif"/>
          <w:sz w:val="24"/>
        </w:rPr>
        <w:t xml:space="preserve"> </w:t>
      </w:r>
      <w:r>
        <w:rPr>
          <w:rFonts w:ascii="Times New Roman;Times;serif" w:hAnsi="Times New Roman;Times;serif"/>
          <w:sz w:val="20"/>
        </w:rPr>
        <w:t>and ten years. The bonds are provided by various bonding agencies. However, we are ultimately liable for claims that may occur against them. As of June 30, 2025 and 2026, we had a maximum financial exposure related to performance bonds of approximately $104</w:t>
      </w:r>
      <w:r>
        <w:rPr>
          <w:rFonts w:ascii="Times New Roman;Times;serif" w:hAnsi="Times New Roman;Times;serif"/>
          <w:sz w:val="24"/>
        </w:rPr>
        <w:t xml:space="preserve"> </w:t>
      </w:r>
      <w:r>
        <w:rPr>
          <w:rFonts w:ascii="Times New Roman;Times;serif" w:hAnsi="Times New Roman;Times;serif"/>
          <w:sz w:val="20"/>
        </w:rPr>
        <w:t>million and $102</w:t>
      </w:r>
      <w:r>
        <w:rPr>
          <w:rFonts w:ascii="Times New Roman;Times;serif" w:hAnsi="Times New Roman;Times;serif"/>
          <w:sz w:val="24"/>
        </w:rPr>
        <w:t xml:space="preserve"> </w:t>
      </w:r>
      <w:r>
        <w:rPr>
          <w:rFonts w:ascii="Times New Roman;Times;serif" w:hAnsi="Times New Roman;Times;serif"/>
          <w:sz w:val="20"/>
        </w:rPr>
        <w:t>million, respectively. As described in Note 8, we and several of our foreign subsidiaries have issued letters of credit under the revolving credit facility and international bank facilities. These letters of credit are issued to protect various customers, suppliers and government agencies under contractual arrangements and regulatory requirements. We have no history of significant claims and there are no pending matters that would require us to perform under any of these arrangements, and we believe that the resolution of any claims that might arise in the future, either individually or in the aggregate, would not materially affect the consolidated financial statements. Accordingly, no</w:t>
      </w:r>
      <w:r>
        <w:rPr>
          <w:rFonts w:ascii="Times New Roman;Times;serif" w:hAnsi="Times New Roman;Times;serif"/>
          <w:sz w:val="24"/>
        </w:rPr>
        <w:t xml:space="preserve"> </w:t>
      </w:r>
      <w:r>
        <w:rPr>
          <w:rFonts w:ascii="Times New Roman;Times;serif" w:hAnsi="Times New Roman;Times;serif"/>
          <w:sz w:val="20"/>
        </w:rPr>
        <w:t>liability for any of these arrangements has been recorded as of June 30, 2025 and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Environmental Contingencies</w:t>
      </w:r>
      <w:r>
        <w:rPr>
          <w:rFonts w:ascii="Times New Roman;Times;serif" w:hAnsi="Times New Roman;Times;serif"/>
          <w:sz w:val="20"/>
        </w:rPr>
        <w:t>—We are subject to various environmental laws. We conduct environmental investigations at our manufacturing facilities in North America, Asia-Pacific, and Europe, and, to the extent practicable, on all new properties to identify, as of the date of such investigation, potential areas of environmental concern related to past and present activities or from nearby operations. In certain cases, we have conducted further environmental assessments consisting of soil and groundwater testing and other investigations deemed appropriate by independent environmental consultants.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accrued for loss contingencies relating to environmental matters because we believe that, although unfavorable outcomes are possible, they are not considered by our management to be probable and reasonably estimable. If one or more of these environmental matters are resolved in a manner adverse to us, the impact on our business, financial condition, results of operations and cash flow could be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Indemnifications</w:t>
      </w:r>
      <w:r>
        <w:rPr>
          <w:rFonts w:ascii="Times New Roman;Times;serif" w:hAnsi="Times New Roman;Times;serif"/>
          <w:sz w:val="20"/>
        </w:rPr>
        <w:t>—In the normal course of business, we have agreed to indemnify certain parties with respect to certain matters. We have agreed to hold certain parties harmless against losses arising from a breach of representations, warranties or covenants, or intellectual property infringement or other claims made by third parties. These agreements may limit the time within which an indemnification claim can be made and the amount of the claim. In addition, we have entered into indemnification agreements with our directors and certain of our officers. It is not possible to determine the maximum potential amount under these indemnification agreements due to the limited history of prior indemnification claims and the unique facts and circumstances involved in each particular agreement. We have not recorded any liability for costs related to contingent indemnification obligations as of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Legal Proceedings</w:t>
      </w:r>
      <w:r>
        <w:rPr>
          <w:rFonts w:ascii="Times New Roman;Times;serif" w:hAnsi="Times New Roman;Times;serif"/>
          <w:sz w:val="20"/>
        </w:rPr>
        <w:t>— We are involved in various other potential or actual claims and legal proceedings arising in the ordinary 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any non-ordinary course matters because we believe that, although unfavorable outcomes in the proceedings are possible, they are not considered by management to be probable and reasonably estimable. If one or more of these matters are resolved in a manner adverse to our company, the impact on our business, financial condition, results of operations and cash flows could be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RELATED-PARTY TRANSACTIONS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1994, we, together with an unrelated company, formed ECIL-Rapiscan Security Products Limited, a joint venture organized under the laws of India. We own a 36% interest in the joint venture, our Executive Chairman owns a 10.5% interest, and our President and Chief Executive Officer owns a 4.5% ownership interest. Our initial investment in the joint venture was approximately $0.1  million. For each of the years ended June 30, 2024, 2025 and 2026 our equity earnings in the joint venture were not significant. We, our Executive Chairman and our and President and Chief Executive Officer collectively control less than 50% of the board of directors voting power in the joint venture. As a result, we account for the investment under the equity method of accounting. The joint venture was formed for the purpose of the manufacture, assembly, service and testing of security and inspection systems and other products. Some of our subsidiaries are suppliers to the joint venture partner, which in turn manufactures and sells the resulting products. Net sales to the joint venture partner for fiscal 2024, 2025 and 2026 were approximately $10.4 million, $6.0 million and $1.8  million, respectively. Receivables from the joint venture were $3.5 million and $1.8 million as of June 30, 2025 and 2026,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EMPLOYEE BENEFIT PLANS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 Retirement Savings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various qualified employee retirement savings plans. Participants can contribute certain amounts to the plans and we match a certain portion of employee contributions. We contributed approximately $7.4 million, $8.8 million and $9.5 million to the plans for the fiscal years ended June 30, 2024, 2025 and 2026,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Deferred Compensation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deferred compensation plan, which meets the requirements for deferred compensation under Section 409A of the Internal Revenue Code. The plan provides that selected employees are eligible to defer up to 80% of their salaries and up to 100% of their bonuses. We may also make employer contributions to participant accounts in certain circumstances. The benefits under this plan are unsecured. Participants are generally eligible to receive payment of their vested benefit at the end of their elected deferral period or after termination of their employment for any reason or at a later date to comply with the restrictions of Section 409A. Discretionary company contributions and the related earnings are subject to a vesting schedule dependent upon years of service to us and, also, vest completely upon the participant’s disability or death while employed by us or immediately prior to a change of control. We made contributions of $0.7 million, $0.7 million and $0.8 million for fiscal year 2024, 2025 and 2026, respectively. As of June 30, 2026, we held assets of $55.0 million and liabilities of $53.8 million related to this plan. Assets related to this plan are included in other assets and liabilities related to this plan are included in other long-term liabilities in the consolidated balance sheets. The plan liabilities include accrued employer contributions not yet funded to the plan.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 Pension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sponsor a number of qualified and nonqualified pension plans for our employees at certain locations. In accordance with accounting standards for employee pension and postretirement benefits, we fully recognize the overfunded or underfunded status of each of our defined benefit plans as an asset or liability in the consolidated balance sheets. The asset or liability equals the difference between the fair value of the plans’ assets and their benefit obligations. The liabilities associated with underfunded plans are classified as noncurrent, except to the extent the fair value of the plans’ assets is less than the plans’ estimated benefit payments over the next 12 months. We measure our pension and postretirement benefit plans’ assets and benefit obligations as of June 30.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1446" w:name="Tc_97nhpX9S9EeY0ZuQDwPwpg_5_5"/>
      <w:bookmarkStart w:id="1447" w:name="Tc_Escb8rMAPUywSv_GK1fzAQ_5_4"/>
      <w:bookmarkStart w:id="1448" w:name="Tc_iCZf7MizGkOB5szEPvWbhg_5_3"/>
      <w:bookmarkStart w:id="1449" w:name="Tc_b3DkjF01fESUW3oyRVKpNg_5_2"/>
      <w:bookmarkStart w:id="1450" w:name="Tc_igbcV6YWQESI2uRbxJ0jgQ_5_0"/>
      <w:bookmarkStart w:id="1451" w:name="Tc_LorLyevjaU-QyXaswhDNAQ_4_5"/>
      <w:bookmarkStart w:id="1452" w:name="Tc_pUICsbYGx0u34hcrL4AUmQ_4_3"/>
      <w:bookmarkStart w:id="1453" w:name="Tc_7WkKqkqmVkiX9lodvZWuWg_4_0"/>
      <w:bookmarkStart w:id="1454" w:name="Tc_a2IHCSWWJUqLwprqo4bZCQ_3_5"/>
      <w:bookmarkStart w:id="1455" w:name="Tc_nL6IHeAEZ0yxq1neZ-ZNHg_3_3"/>
      <w:bookmarkStart w:id="1456" w:name="Tc_D34XAoI0LEyzBiw9AGkwfw_3_0"/>
      <w:bookmarkStart w:id="1457" w:name="Tc_fMlnp2NgZke8zcF0cwU5yQ_2_0"/>
      <w:bookmarkStart w:id="1458" w:name="Tc_4tYCHlphGkSM2i4mP_F0XQ_1_4"/>
      <w:bookmarkStart w:id="1459" w:name="Tc_lc87djVLtU-D5YlmXyuOOQ_1_2"/>
      <w:bookmarkStart w:id="1460" w:name="_98036f4b_6a28_45cc_a84d_bb100c57b0a3"/>
      <w:bookmarkStart w:id="1461" w:name="Tc_biJHnP2tXkyQaCb3gEaCcg_8_8"/>
      <w:bookmarkStart w:id="1462" w:name="Tc_ihb1xGmg8k6tZ2o8KEOlkw_8_5"/>
      <w:bookmarkStart w:id="1463" w:name="Tc_5jedGrME5U6Jq1ohJpcK5w_8_2"/>
      <w:bookmarkStart w:id="1464" w:name="Tc_u29WMOIFA0WrcJXS0z_yng_4_6"/>
      <w:bookmarkStart w:id="1465" w:name="Tc_jKfjBLQwxE2OHG6uZC6uew_4_3"/>
      <w:bookmarkStart w:id="1466" w:name="Tc_JWPdaMIBTkqXgrh-ItUKwQ_4_0"/>
      <w:bookmarkStart w:id="1467" w:name="Tc_2ZBkoubaMUK4yiCkZMGjdg_3_8"/>
      <w:bookmarkStart w:id="1468" w:name="Tc_D0oSGpeRyE-YtJQ5JhqYqg_3_5"/>
      <w:bookmarkStart w:id="1469" w:name="Tc_F0QEPPtXQUWSAPEkJde2Dw_3_2"/>
      <w:bookmarkStart w:id="1470" w:name="Tc_lEtAHDL1pUSrRwIi4-y1hA_2_0"/>
      <w:bookmarkStart w:id="1471" w:name="Tc_t2cTayTc7Uy9yop9h4plKw_1_8"/>
      <w:bookmarkStart w:id="1472" w:name="Tc_XuVlD0GQ4E-6fJEQ1K3jrw_1_5"/>
      <w:bookmarkStart w:id="1473" w:name="Tc_qw7j5BLDnEW4L5xCOyUOIw_1_2"/>
      <w:bookmarkStart w:id="1474" w:name="_9c009463_6435_4c06_9b6b_5fb055fa1c6e"/>
      <w:bookmarkStart w:id="1475" w:name="Tc_WC7ncEmtLUGimFphFdXelA_23_0"/>
      <w:bookmarkStart w:id="1476" w:name="Tc_Bbjo2rWqPke4DMB6X0jSHQ_22_0"/>
      <w:bookmarkStart w:id="1477" w:name="Tc_hXapn18UNkeLLkSvjk5mMA_21_0"/>
      <w:bookmarkStart w:id="1478" w:name="Tc_oxKQLxV6IUWoYWbGNaw4TQ_20_5"/>
      <w:bookmarkStart w:id="1479" w:name="Tc_ymwn5_EpdkKaJLqVOW4VMw_20_2"/>
      <w:bookmarkStart w:id="1480" w:name="Tc_5gfL5TY2_kasG9ImAU2YCQ_20_0"/>
      <w:bookmarkStart w:id="1481" w:name="Tc__Ipb-QTaI0mGQUIkK5khyA_19_0"/>
      <w:bookmarkStart w:id="1482" w:name="Tc_sqknO98kjk6GLRMoeTIkjg_18_5"/>
      <w:bookmarkStart w:id="1483" w:name="Tc_oEk-QQcWZUuxpz8RGrmGcA_18_2"/>
      <w:bookmarkStart w:id="1484" w:name="Tc_2cmUCNYo0kGj1qTe6z_Hnw_18_0"/>
      <w:bookmarkStart w:id="1485" w:name="Tc_0v3rKdWmVk2THO9cvgLcpQ_17_0"/>
      <w:bookmarkStart w:id="1486" w:name="Tc_YCbH1zdXDEm3ZtCU23eV2w_16_0"/>
      <w:bookmarkStart w:id="1487" w:name="Tc_SwwkBzDYREq9IbGxUKs-zw_15_0"/>
      <w:bookmarkStart w:id="1488" w:name="Tc_OB71eKPKNEO1E68C2RiamQ_14_0"/>
      <w:bookmarkStart w:id="1489" w:name="Tc_OZ8su5pCIUGuu1jCVMpkoA_13_0"/>
      <w:bookmarkStart w:id="1490" w:name="Tc_TjWhBNsqRUC0Jsxe0kdAYQ_12_0"/>
      <w:bookmarkStart w:id="1491" w:name="Tc_JEqyGwfU5E-dJhblCh6ORg_11_0"/>
      <w:bookmarkStart w:id="1492" w:name="Tc_10blNfJjZUOAVhFNHPEP4w_10_0"/>
      <w:bookmarkStart w:id="1493" w:name="Tc_oeRhJVBqMUuErpSxZVidVg_9_0"/>
      <w:bookmarkStart w:id="1494" w:name="Tc_8pNRJiZMDUataS0w0EY-DA_8_0"/>
      <w:bookmarkStart w:id="1495" w:name="Tc_yHjrtOZZtk-Dyyj8MjsYrA_7_3"/>
      <w:bookmarkStart w:id="1496" w:name="Tc_9M6hmLR_sU2XDlHdV_zBww_7_0"/>
      <w:bookmarkStart w:id="1497" w:name="Tc_T6v2w2b7EEqCt7lKDzcbvw_6_3"/>
      <w:bookmarkStart w:id="1498" w:name="Tc_NM4EdrGs8U2-1cVrWNdhpA_6_0"/>
      <w:bookmarkStart w:id="1499" w:name="Tc_XhzuL4gm6kqdHwBiAb2_1Q_5_0"/>
      <w:bookmarkStart w:id="1500" w:name="Tc_1GO6DPAtLUOpvk4oa4wSMw_4_0"/>
      <w:bookmarkStart w:id="1501" w:name="Tc_EMX0LXLv0EC8akk2pmAIaA_3_5"/>
      <w:bookmarkStart w:id="1502" w:name="Tc_bADblevNNEGQQk0NQggPag_3_2"/>
      <w:bookmarkStart w:id="1503" w:name="Tc_fbDqMLj340680mBDzrOk6A_3_0"/>
      <w:bookmarkStart w:id="1504" w:name="Tc_MKwbm9npNUenr651JqNfKg_2_0"/>
      <w:bookmarkStart w:id="1505" w:name="Tc_YWEJTFG5J06eRYvHXAS-zw_1_5"/>
      <w:bookmarkStart w:id="1506" w:name="Tc_8LJlOZipnUKu74s6cy-_RQ_1_2"/>
      <w:bookmarkStart w:id="1507" w:name="_3d0afb65_cab4_472e_a0eb_2e1b71305474"/>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r>
        <w:rPr>
          <w:rFonts w:ascii="Times New Roman;Times;serif" w:hAnsi="Times New Roman;Times;serif"/>
          <w:sz w:val="20"/>
        </w:rPr>
        <w:t>The following provides a reconciliation of the changes in the plans’ benefit obligations and fair value of assets for fiscal years 2025 and 2026, and a statement of the funded status as of June 30, 2025 and 2026 (in thousands):</w:t>
      </w:r>
    </w:p>
    <w:p>
      <w:pPr>
        <w:pStyle w:val="TextBody"/>
        <w:bidi w:val="0"/>
        <w:spacing w:before="0" w:after="0"/>
        <w:ind w:left="0" w:right="0" w:firstLine="720"/>
        <w:jc w:val="both"/>
        <w:rPr/>
      </w:pPr>
      <w:r>
        <w:rPr/>
        <w:t>​</w:t>
      </w:r>
    </w:p>
    <w:tbl>
      <w:tblPr>
        <w:tblW w:w="8932" w:type="dxa"/>
        <w:jc w:val="left"/>
        <w:tblInd w:w="0" w:type="dxa"/>
        <w:tblLayout w:type="fixed"/>
        <w:tblCellMar>
          <w:top w:w="0" w:type="dxa"/>
          <w:left w:w="0" w:type="dxa"/>
          <w:bottom w:w="0" w:type="dxa"/>
          <w:right w:w="0" w:type="dxa"/>
        </w:tblCellMar>
      </w:tblPr>
      <w:tblGrid>
        <w:gridCol w:w="6286"/>
        <w:gridCol w:w="346"/>
        <w:gridCol w:w="211"/>
        <w:gridCol w:w="691"/>
        <w:gridCol w:w="346"/>
        <w:gridCol w:w="211"/>
        <w:gridCol w:w="841"/>
      </w:tblGrid>
      <w:tr>
        <w:trPr/>
        <w:tc>
          <w:tcPr>
            <w:tcW w:w="6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3991610" cy="175260"/>
                      <wp:effectExtent l="0" t="0" r="0" b="0"/>
                      <wp:wrapNone/>
                      <wp:docPr id="538" name="Frame536"/>
                      <a:graphic xmlns:a="http://schemas.openxmlformats.org/drawingml/2006/main">
                        <a:graphicData uri="http://schemas.microsoft.com/office/word/2010/wordprocessingShape">
                          <wps:wsp>
                            <wps:cNvSpPr txBox="1"/>
                            <wps:spPr>
                              <a:xfrm>
                                <a:off x="0" y="0"/>
                                <a:ext cx="399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39"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33985" cy="175260"/>
                      <wp:effectExtent l="0" t="0" r="0" b="0"/>
                      <wp:wrapNone/>
                      <wp:docPr id="540" name="Frame5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38785" cy="175260"/>
                      <wp:effectExtent l="0" t="0" r="0" b="0"/>
                      <wp:wrapNone/>
                      <wp:docPr id="541" name="Frame5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2"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33985" cy="175260"/>
                      <wp:effectExtent l="0" t="0" r="0" b="0"/>
                      <wp:wrapNone/>
                      <wp:docPr id="543"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534035" cy="175260"/>
                      <wp:effectExtent l="0" t="0" r="0" b="0"/>
                      <wp:wrapNone/>
                      <wp:docPr id="544" name="Frame54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8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in Benefit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 at beginning of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12,192</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 amendments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16,268</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in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8,540</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return on plan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contributions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 at end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Funded status and net benefit obligation amount recognized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(6,434)</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recognized in consolidated balance sheets consists of: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benefit asset (included in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6,353</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net pension liability (included in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long term pension liability (included in 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(10,641)</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One of our defined benefit pension plans is considered a nonqualified plan, therefore we have funded a separate rabbi trust which comprises insurance company contracts with fair values of $9.1 million and $10.7 million as of June 30, 2025 and 2026, respectively, included in Other Assets on the consolidated balance sheets. These amounts are not included in the fair value of plan assets in the table above. In the fiscal year ended June 30, 2026, $2.1 million from the rabbi trust was used as a Company contribution to the nonqualified plan and paid during the year.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provides the net periodic benefit costs for the fiscal years ended June 30, (in thousands):</w:t>
      </w:r>
    </w:p>
    <w:p>
      <w:pPr>
        <w:pStyle w:val="TextBody"/>
        <w:bidi w:val="0"/>
        <w:spacing w:before="0" w:after="0"/>
        <w:ind w:left="0" w:right="0" w:firstLine="720"/>
        <w:jc w:val="both"/>
        <w:rPr/>
      </w:pPr>
      <w:r>
        <w:rPr/>
        <w:t>​</w:t>
      </w:r>
    </w:p>
    <w:tbl>
      <w:tblPr>
        <w:tblW w:w="6340" w:type="dxa"/>
        <w:jc w:val="left"/>
        <w:tblInd w:w="0" w:type="dxa"/>
        <w:tblLayout w:type="fixed"/>
        <w:tblCellMar>
          <w:top w:w="0" w:type="dxa"/>
          <w:left w:w="0" w:type="dxa"/>
          <w:bottom w:w="0" w:type="dxa"/>
          <w:right w:w="0" w:type="dxa"/>
        </w:tblCellMar>
      </w:tblPr>
      <w:tblGrid>
        <w:gridCol w:w="2911"/>
        <w:gridCol w:w="346"/>
        <w:gridCol w:w="211"/>
        <w:gridCol w:w="541"/>
        <w:gridCol w:w="346"/>
        <w:gridCol w:w="211"/>
        <w:gridCol w:w="541"/>
        <w:gridCol w:w="346"/>
        <w:gridCol w:w="211"/>
        <w:gridCol w:w="67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848485" cy="175260"/>
                      <wp:effectExtent l="0" t="0" r="0" b="0"/>
                      <wp:wrapNone/>
                      <wp:docPr id="545" name="Frame54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6"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7" name="Frame5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343535" cy="175260"/>
                      <wp:effectExtent l="0" t="0" r="0" b="0"/>
                      <wp:wrapNone/>
                      <wp:docPr id="548" name="Frame54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49"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50" name="Frame5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43535" cy="175260"/>
                      <wp:effectExtent l="0" t="0" r="0" b="0"/>
                      <wp:wrapNone/>
                      <wp:docPr id="551" name="Frame54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2"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3985" cy="175260"/>
                      <wp:effectExtent l="0" t="0" r="0" b="0"/>
                      <wp:wrapNone/>
                      <wp:docPr id="553" name="Frame5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29260" cy="175260"/>
                      <wp:effectExtent l="0" t="0" r="0" b="0"/>
                      <wp:wrapNone/>
                      <wp:docPr id="554" name="Frame5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Periodic Benefit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prior service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actuarial loss (gain)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periodic benefit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4,777</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Plan Assumptions</w:t>
      </w:r>
    </w:p>
    <w:p>
      <w:pPr>
        <w:pStyle w:val="TextBody"/>
        <w:bidi w:val="0"/>
        <w:spacing w:before="0" w:after="0"/>
        <w:ind w:left="0" w:right="0" w:hanging="0"/>
        <w:jc w:val="both"/>
        <w:rPr/>
      </w:pPr>
      <w:r>
        <w:rPr/>
        <w:t>​</w:t>
      </w:r>
    </w:p>
    <w:tbl>
      <w:tblPr>
        <w:tblW w:w="5586" w:type="dxa"/>
        <w:jc w:val="left"/>
        <w:tblInd w:w="0" w:type="dxa"/>
        <w:tblLayout w:type="fixed"/>
        <w:tblCellMar>
          <w:top w:w="0" w:type="dxa"/>
          <w:left w:w="0" w:type="dxa"/>
          <w:bottom w:w="0" w:type="dxa"/>
          <w:right w:w="0" w:type="dxa"/>
        </w:tblCellMar>
      </w:tblPr>
      <w:tblGrid>
        <w:gridCol w:w="3646"/>
        <w:gridCol w:w="346"/>
        <w:gridCol w:w="466"/>
        <w:gridCol w:w="346"/>
        <w:gridCol w:w="466"/>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315210" cy="175260"/>
                      <wp:effectExtent l="0" t="0" r="0" b="0"/>
                      <wp:wrapNone/>
                      <wp:docPr id="555" name="Frame553"/>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56"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95910" cy="175260"/>
                      <wp:effectExtent l="0" t="0" r="0" b="0"/>
                      <wp:wrapNone/>
                      <wp:docPr id="557" name="Frame55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58"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95910" cy="175260"/>
                      <wp:effectExtent l="0" t="0" r="0" b="0"/>
                      <wp:wrapNone/>
                      <wp:docPr id="559" name="Frame55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0660" cy="175260"/>
                      <wp:effectExtent l="0" t="0" r="0" b="0"/>
                      <wp:wrapNone/>
                      <wp:docPr id="560" name="Frame55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left"/>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assumptions at year-end:</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of compensation increase</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firstLine="720"/>
        <w:jc w:val="both"/>
        <w:rPr>
          <w:rFonts w:ascii="Times New Roman;Times;serif" w:hAnsi="Times New Roman;Times;serif"/>
          <w:sz w:val="20"/>
        </w:rPr>
      </w:pPr>
      <w:bookmarkStart w:id="1508" w:name="Tc_jKvy4KmgY06T5xdZAtRcrQ_7_0"/>
      <w:bookmarkStart w:id="1509" w:name="Tc_ZW0UtzbW702DRhFjen2Gzw_6_0"/>
      <w:bookmarkStart w:id="1510" w:name="Tc_JFt91UCJL02xca7aYVotrA_5_0"/>
      <w:bookmarkStart w:id="1511" w:name="Tc_Jt4flGUXRka7X-xgwyxLcQ_4_0"/>
      <w:bookmarkStart w:id="1512" w:name="Tc_KQBWidKTWESMgLlCTpcorA_3_0"/>
      <w:bookmarkStart w:id="1513" w:name="Tc_v9vzrdt8A0uBSRVoSxtFKA_2_2"/>
      <w:bookmarkStart w:id="1514" w:name="Tc_psVf8GYUtkiUSgVME_h-1g_2_0"/>
      <w:bookmarkStart w:id="1515" w:name="Tc_7ZE1uOOkJkW-7g-vG0LkFA_1_2"/>
      <w:bookmarkStart w:id="1516" w:name="_a22d68c4_9079_4a6e_8273_d38d840468ce"/>
      <w:bookmarkStart w:id="1517" w:name="Tc_GRrOOKADfkuo2Fp9LcKI7w_8_9"/>
      <w:bookmarkStart w:id="1518" w:name="Tc_Okhtg29AGUK3tsP38j9J1w_8_7"/>
      <w:bookmarkStart w:id="1519" w:name="Tc_tPsAqS-1Qk-O_71qHkHlyw_8_5"/>
      <w:bookmarkStart w:id="1520" w:name="Tc_l1wLTIO-QUy_KMEs-mUt1Q_8_3"/>
      <w:bookmarkStart w:id="1521" w:name="Tc_CF15HLnS5USwrO4edxK3Mg_8_0"/>
      <w:bookmarkStart w:id="1522" w:name="Tc_IMoGVG0LU0eX7A7_k3401A_7_9"/>
      <w:bookmarkStart w:id="1523" w:name="Tc_tsYahi-ZYE6HYpCXj45DmQ_7_7"/>
      <w:bookmarkStart w:id="1524" w:name="Tc_npoz5VTdzE2K4-ulhtkyng_7_5"/>
      <w:bookmarkStart w:id="1525" w:name="Tc_MJPSfrUGcU2VEaSi3hdFIA_7_3"/>
      <w:bookmarkStart w:id="1526" w:name="Tc_mdTwn_8mSUiX4gxEw1Q3Gw_7_0"/>
      <w:bookmarkStart w:id="1527" w:name="Tc_0SfV6NbDMEiEYs8TZnSo1w_6_9"/>
      <w:bookmarkStart w:id="1528" w:name="Tc_MYpFFaKA5kqpd5fgy3qokg_6_7"/>
      <w:bookmarkStart w:id="1529" w:name="Tc_Ui5-Mm2iYU6q7Vb6wMCYzw_6_5"/>
      <w:bookmarkStart w:id="1530" w:name="Tc_glKSIwQPkEevgv6Iko6JTg_6_3"/>
      <w:bookmarkStart w:id="1531" w:name="Tc_b5GzOd08nEyl5QpkvTJGpg_6_0"/>
      <w:bookmarkStart w:id="1532" w:name="Tc_g_rgO_7Tr0iZRLl-p69BlQ_5_9"/>
      <w:bookmarkStart w:id="1533" w:name="Tc_NkmUjIfYF0m_ZTZDY7ONhA_5_7"/>
      <w:bookmarkStart w:id="1534" w:name="Tc_2SHFE8pZtEOGiseXAGA6eA_5_5"/>
      <w:bookmarkStart w:id="1535" w:name="Tc_nIvtO59NRU6eh4dPzzw2Cw_5_3"/>
      <w:bookmarkStart w:id="1536" w:name="Tc_Z4wfPDPLfkufk5_DNx12YQ_5_0"/>
      <w:bookmarkStart w:id="1537" w:name="Tc_noesoWCXAkiT6ZisVebWLw_4_8"/>
      <w:bookmarkStart w:id="1538" w:name="Tc_1eN9mhFJm06GfyRCccPOrw_4_6"/>
      <w:bookmarkStart w:id="1539" w:name="Tc_TaleOh2alE6mMZMuSfwZbw_4_4"/>
      <w:bookmarkStart w:id="1540" w:name="Tc_W3lrKvK3QkilkSvTEpSUZA_4_2"/>
      <w:bookmarkStart w:id="1541" w:name="Tc_p6Z_9rzHO0O_70d3HLT4kA_3_8"/>
      <w:bookmarkStart w:id="1542" w:name="Tc_a9rIqZK5LkyNBg8UP3YsZg_3_6"/>
      <w:bookmarkStart w:id="1543" w:name="Tc_WzquSKqJVkKDzCHwaT7oAQ_3_4"/>
      <w:bookmarkStart w:id="1544" w:name="Tc_oxV9FugZiUa0BVWKc_O0ag_3_2"/>
      <w:bookmarkStart w:id="1545" w:name="Tc_gDr3Re1pbkC0Yxt6TBHtcA_2_6"/>
      <w:bookmarkStart w:id="1546" w:name="Tc_dMtVTwQlek6EpY9Fww3rmQ_2_2"/>
      <w:bookmarkStart w:id="1547" w:name="Tc_1jBURtPsKkm6HFlZUKbbxw_1_6"/>
      <w:bookmarkStart w:id="1548" w:name="Tc_BA9Ad7wa4UWBsHR32zoQww_1_2"/>
      <w:bookmarkStart w:id="1549" w:name="_6ab51215_83dc_4709_b8bb_236e1a405c78"/>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r>
        <w:rPr>
          <w:rFonts w:ascii="Times New Roman;Times;serif" w:hAnsi="Times New Roman;Times;serif"/>
          <w:sz w:val="20"/>
        </w:rPr>
        <w:t>The long-term return on assets has been derived from the weighted average of assumed returns on each of the major asset categories. The weighted average is based on the actual proportion of each major asset class held, rather than a benchmark portfolio of assets. The expected returns for each major asset class have been derived from a combination of both historical market returns and current market data as well as the views of a range of investment managers. There is no assumed rate of compensation increase as most of the plan participants are retirees or no longer employed by OSI.</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Plan Assets and Investment Policy</w:t>
      </w:r>
    </w:p>
    <w:p>
      <w:pPr>
        <w:pStyle w:val="TextBody"/>
        <w:bidi w:val="0"/>
        <w:spacing w:before="0" w:after="0"/>
        <w:ind w:left="0" w:right="0" w:hanging="0"/>
        <w:jc w:val="both"/>
        <w:rPr/>
      </w:pPr>
      <w:r>
        <w:rPr/>
        <w:t>​</w:t>
      </w:r>
    </w:p>
    <w:tbl>
      <w:tblPr>
        <w:tblW w:w="7765" w:type="dxa"/>
        <w:jc w:val="left"/>
        <w:tblInd w:w="0" w:type="dxa"/>
        <w:tblLayout w:type="fixed"/>
        <w:tblCellMar>
          <w:top w:w="0" w:type="dxa"/>
          <w:left w:w="0" w:type="dxa"/>
          <w:bottom w:w="0" w:type="dxa"/>
          <w:right w:w="0" w:type="dxa"/>
        </w:tblCellMar>
      </w:tblPr>
      <w:tblGrid>
        <w:gridCol w:w="1486"/>
        <w:gridCol w:w="346"/>
        <w:gridCol w:w="1111"/>
        <w:gridCol w:w="361"/>
        <w:gridCol w:w="1156"/>
        <w:gridCol w:w="361"/>
        <w:gridCol w:w="1111"/>
        <w:gridCol w:w="361"/>
        <w:gridCol w:w="1156"/>
        <w:gridCol w:w="31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943610" cy="175260"/>
                      <wp:effectExtent l="0" t="0" r="0" b="0"/>
                      <wp:wrapNone/>
                      <wp:docPr id="561" name="Frame559"/>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2"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705485" cy="175260"/>
                      <wp:effectExtent l="0" t="0" r="0" b="0"/>
                      <wp:wrapNone/>
                      <wp:docPr id="563" name="Frame56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29235" cy="175260"/>
                      <wp:effectExtent l="0" t="0" r="0" b="0"/>
                      <wp:wrapNone/>
                      <wp:docPr id="564" name="Frame5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734060" cy="175260"/>
                      <wp:effectExtent l="0" t="0" r="0" b="0"/>
                      <wp:wrapNone/>
                      <wp:docPr id="565" name="Frame56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29235" cy="175260"/>
                      <wp:effectExtent l="0" t="0" r="0" b="0"/>
                      <wp:wrapNone/>
                      <wp:docPr id="566" name="Frame5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705485" cy="175260"/>
                      <wp:effectExtent l="0" t="0" r="0" b="0"/>
                      <wp:wrapNone/>
                      <wp:docPr id="567" name="Frame56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29235" cy="175260"/>
                      <wp:effectExtent l="0" t="0" r="0" b="0"/>
                      <wp:wrapNone/>
                      <wp:docPr id="568" name="Frame5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734060" cy="175260"/>
                      <wp:effectExtent l="0" t="0" r="0" b="0"/>
                      <wp:wrapNone/>
                      <wp:docPr id="569" name="Frame56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0660" cy="175260"/>
                      <wp:effectExtent l="0" t="0" r="0" b="0"/>
                      <wp:wrapNone/>
                      <wp:docPr id="570" name="Frame5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c>
          <w:tcPr>
            <w:tcW w:w="361" w:type="dxa"/>
            <w:tcBorders/>
            <w:vAlign w:val="center"/>
          </w:tcPr>
          <w:p>
            <w:pPr>
              <w:pStyle w:val="TableContents"/>
              <w:bidi w:val="0"/>
              <w:spacing w:before="0" w:after="0"/>
              <w:ind w:left="0" w:right="0" w:hanging="0"/>
              <w:jc w:val="left"/>
              <w:rPr/>
            </w:pPr>
            <w:r>
              <w:rPr/>
              <w:t>​</w:t>
            </w:r>
          </w:p>
        </w:tc>
        <w:tc>
          <w:tcPr>
            <w:tcW w:w="262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c>
          <w:tcPr>
            <w:tcW w:w="316"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61" w:type="dxa"/>
            <w:tcBorders/>
            <w:vAlign w:val="center"/>
          </w:tcPr>
          <w:p>
            <w:pPr>
              <w:pStyle w:val="TableContents"/>
              <w:bidi w:val="0"/>
              <w:spacing w:before="0" w:after="0"/>
              <w:ind w:left="0" w:right="0" w:hanging="0"/>
              <w:jc w:val="left"/>
              <w:rPr/>
            </w:pPr>
            <w:r>
              <w:rPr/>
              <w:t>​</w:t>
            </w:r>
          </w:p>
        </w:tc>
        <w:tc>
          <w:tcPr>
            <w:tcW w:w="26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16"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Proportion of</w:t>
            </w:r>
          </w:p>
        </w:tc>
        <w:tc>
          <w:tcPr>
            <w:tcW w:w="36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Expected Rate</w:t>
            </w:r>
          </w:p>
        </w:tc>
        <w:tc>
          <w:tcPr>
            <w:tcW w:w="36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Proportion of</w:t>
            </w:r>
          </w:p>
        </w:tc>
        <w:tc>
          <w:tcPr>
            <w:tcW w:w="36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Expected Rate</w:t>
            </w:r>
          </w:p>
        </w:tc>
        <w:tc>
          <w:tcPr>
            <w:tcW w:w="316"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61"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Return</w:t>
            </w:r>
          </w:p>
        </w:tc>
        <w:tc>
          <w:tcPr>
            <w:tcW w:w="361"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61"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Return</w:t>
            </w:r>
          </w:p>
        </w:tc>
        <w:tc>
          <w:tcPr>
            <w:tcW w:w="316" w:type="dxa"/>
            <w:tcBorders/>
            <w:vAlign w:val="center"/>
          </w:tcPr>
          <w:p>
            <w:pPr>
              <w:pStyle w:val="TableContents"/>
              <w:bidi w:val="0"/>
              <w:spacing w:before="0" w:after="0"/>
              <w:ind w:left="0" w:right="0" w:hanging="0"/>
              <w:jc w:val="left"/>
              <w:rPr/>
            </w:pPr>
            <w:r>
              <w:rPr/>
              <w:t> </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Combined</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defined benefit plans’ assets are invested in a range of pooled investment funds that provide access to a diverse range of asset classes. The investment objective is to maximize the investment return over the long term without exposing the fund to an unnecessary level of risk. Within this objective, it is recognized that benefits will be secured by the purchase of annuities at the time of employee retirement.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benchmark is to hold assets in both equity and debt securities. The proportion in each investment class is not mandated and is allowed to fluctuate with market movements. The equity holdings are maintained in balanced funds under the control of investment managers.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Day-to-day equities selection decisions are delegated to investment managers, although these are monitored against performance and risk targets. Due to the nature of the pooled funds, there are no significant holdings in any single company (greater than 5% of the total assets). The investment strategy is reviewed on a regular basis, based on the results of third-party liability studies.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Projected Benefit Payments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reflects estimated benefits payments, based upon the same assumptions used to measure the benefit obligation and net pension cost, as of June 30, 2026 (in thousands):</w:t>
      </w:r>
    </w:p>
    <w:p>
      <w:pPr>
        <w:pStyle w:val="TextBody"/>
        <w:bidi w:val="0"/>
        <w:spacing w:before="0" w:after="0"/>
        <w:ind w:left="0" w:right="0" w:firstLine="720"/>
        <w:jc w:val="both"/>
        <w:rPr/>
      </w:pPr>
      <w:r>
        <w:rPr/>
        <w:t>​</w:t>
      </w:r>
    </w:p>
    <w:tbl>
      <w:tblPr>
        <w:tblW w:w="4188" w:type="dxa"/>
        <w:jc w:val="left"/>
        <w:tblInd w:w="0" w:type="dxa"/>
        <w:tblLayout w:type="fixed"/>
        <w:tblCellMar>
          <w:top w:w="0" w:type="dxa"/>
          <w:left w:w="0" w:type="dxa"/>
          <w:bottom w:w="0" w:type="dxa"/>
          <w:right w:w="0" w:type="dxa"/>
        </w:tblCellMar>
      </w:tblPr>
      <w:tblGrid>
        <w:gridCol w:w="2521"/>
        <w:gridCol w:w="346"/>
        <w:gridCol w:w="314"/>
        <w:gridCol w:w="1007"/>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600835" cy="175260"/>
                      <wp:effectExtent l="0" t="0" r="0" b="0"/>
                      <wp:wrapNone/>
                      <wp:docPr id="571" name="Frame569"/>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19710" cy="175260"/>
                      <wp:effectExtent l="0" t="0" r="0" b="0"/>
                      <wp:wrapNone/>
                      <wp:docPr id="572"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99390" cy="175260"/>
                      <wp:effectExtent l="0" t="0" r="0" b="0"/>
                      <wp:wrapNone/>
                      <wp:docPr id="573" name="Frame57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39445" cy="175260"/>
                      <wp:effectExtent l="0" t="0" r="0" b="0"/>
                      <wp:wrapNone/>
                      <wp:docPr id="574" name="Frame572"/>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2026 to June 30, 2027</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2027 to June 30, 2028</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2028 to June 30, 2029</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3,889</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2029 to June 30, 2030</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4,116</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2030 to June 30, 2031</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2031 to June 30, 2036</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2,548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Contribution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contribution of $2.1 million during fiscal year 2026 for the nonqualified plan was provided by the rabbi trust as described above. Future contributions for the nonqualified plan are expected to be provided by the rabbi trust.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Plan Amendment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2025, a plan amendment was made for our former CEO resulting in $4.4 million in prior service costs amortization.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SEGMENT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three identifiable industry segments: (a) security and inspection systems (Security division), (b) optoelectronic devices and manufacturing (Optoelectronics and Manufacturing division) and (c) medical monitoring systems (Healthcare division). Factors used to identify our reportable segments primarily reflect our organizational and management structure around differences in products and industry markets. The reconciliation of segment totals to consolidated totals include intersegment eliminations and certain unallocated corporate items that include executive compensation and certain other general and administrative expenses; expenses related to stock issuances, legal, audit and other professional service fees, depreciation and amortization, and corporate assets. Both the Security and Healthcare divisions comprise primarily end-product businesses whereas the Optoelectronics and Manufacturing division primarily supplies components and subsystems to external OEM customers, as well as to the Security and Healthcare divisions. Sales between divisions are at transfer prices that approximate market values. All other accounting policies of the segments are the same as described in Note 1, Summary of Significant Accounting Policies. We disclose segment income (loss) from operations as our measure of segment profit/loss, reconciled to consolidated income (loss) from operations. The measure of segment income (loss) from operations excludes impairment, restructuring and other charges presented below which are presented to reconcile to consolidated income from operations. Segment assets represent total current and noncurrent assets for each reportable segment. Business segment disclosures consider information used by/provided to our chief operating decision maker (“CODM”). Our Chief Executive Officer serves as the CODM. The CODM uses segment assets and segment income (loss) from operations, as well as the expenses within each segment including cost of sales, selling, general and administrative expenses and research and development expenses, to allocate resources to segments in the budgeting and forecasting process along with periodic ongoing reviews of results and overall activity in the markets where each segment operates.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TextBody"/>
        <w:bidi w:val="0"/>
        <w:spacing w:before="0" w:after="0"/>
        <w:ind w:left="0" w:right="0" w:firstLine="720"/>
        <w:jc w:val="both"/>
        <w:rPr>
          <w:rFonts w:ascii="Times New Roman;Times;serif" w:hAnsi="Times New Roman;Times;serif"/>
          <w:sz w:val="20"/>
        </w:rPr>
      </w:pPr>
      <w:bookmarkStart w:id="1550" w:name="Tc_61q1XHvz-kWnJdVcdWqzmw_22_20"/>
      <w:bookmarkStart w:id="1551" w:name="Tc_YrgZdO6Z-0Gkowe_uOInkg_22_18"/>
      <w:bookmarkStart w:id="1552" w:name="Tc_Ppg9kFXBi0q-Paz3FPcfxg_22_15"/>
      <w:bookmarkStart w:id="1553" w:name="Tc_6wAGkm9MkUWUBI9D2emucA_22_12"/>
      <w:bookmarkStart w:id="1554" w:name="Tc_USKgtoaSMUqtPT0M4qRnzg_22_9"/>
      <w:bookmarkStart w:id="1555" w:name="Tc_OL6R6p1LqUOqAMJjjJspEA_22_6"/>
      <w:bookmarkStart w:id="1556" w:name="Tc_0jcLpJfs1kWnqLEI2kwhUw_22_3"/>
      <w:bookmarkStart w:id="1557" w:name="Tc_JBsb6T8dyk-U0V3-0ARAgg_22_0"/>
      <w:bookmarkStart w:id="1558" w:name="Tc_6nAs3tvk3kSwibXPrLm67g_21_18"/>
      <w:bookmarkStart w:id="1559" w:name="Tc_sLj9dilTbEOIzm49hFpyBw_21_15"/>
      <w:bookmarkStart w:id="1560" w:name="Tc__iNCY-Ib9kCHMwiU4gd8Aw_21_12"/>
      <w:bookmarkStart w:id="1561" w:name="Tc_CYTNKIQv60GCpJZEvhchmQ_21_9"/>
      <w:bookmarkStart w:id="1562" w:name="Tc_IwTw7qeRY0-E1tJFMx1QIw_21_6"/>
      <w:bookmarkStart w:id="1563" w:name="Tc_ISRAfu-jjkytztWtaO-08Q_21_3"/>
      <w:bookmarkStart w:id="1564" w:name="Tc_iKL3jGJcUEuhkgFNyWURMA_21_0"/>
      <w:bookmarkStart w:id="1565" w:name="Tc_YrRiZX-CPkOLMNLcTQ-vLQ_20_20"/>
      <w:bookmarkStart w:id="1566" w:name="Tc_8lq5aJoJI0CVHjsDpvlFQA_20_18"/>
      <w:bookmarkStart w:id="1567" w:name="Tc_62mEOet_90KPopK7gjfYYA_20_15"/>
      <w:bookmarkStart w:id="1568" w:name="Tc_GTQBXoCFRU6SR6G74bM4Cg_20_12"/>
      <w:bookmarkStart w:id="1569" w:name="Tc_LRL3nt_h5E6vQgBDypA-eg_20_9"/>
      <w:bookmarkStart w:id="1570" w:name="Tc_R9G32Sk7b0a_gdfMpq62ww_20_6"/>
      <w:bookmarkStart w:id="1571" w:name="Tc_LbdhrVEMoUu5HeRgY0Aojw_20_3"/>
      <w:bookmarkStart w:id="1572" w:name="Tc_fGFt8tNm206oSWEV36Fm-w_20_0"/>
      <w:bookmarkStart w:id="1573" w:name="Tc_6lBm3FMz80W4BHTcrzFtQw_19_0"/>
      <w:bookmarkStart w:id="1574" w:name="Tc_zeIfHtb_OUeAZUVB2HWjTw_17_17"/>
      <w:bookmarkStart w:id="1575" w:name="Tc_8j0uSFbyNk2gQW8PD5fadA_17_15"/>
      <w:bookmarkStart w:id="1576" w:name="Tc_lblj1SKfJUWcI44Nscwayg_17_14"/>
      <w:bookmarkStart w:id="1577" w:name="Tc_SjwZ_I1GDE2y3a__Pl8hIg_17_11"/>
      <w:bookmarkStart w:id="1578" w:name="Tc_scyFLLPWQ0SPhI54KF-wkQ_17_8"/>
      <w:bookmarkStart w:id="1579" w:name="Tc_LIeC8zBaLUe_CvX4w0G81w_17_5"/>
      <w:bookmarkStart w:id="1580" w:name="Tc_JcRXb8XRpUyWY-GQ7HmFuA_17_2"/>
      <w:bookmarkStart w:id="1581" w:name="Tc_ZyXcfj1_n0-t0GC9gvxDeA_17_0"/>
      <w:bookmarkStart w:id="1582" w:name="Tc_gbQXidEqkEm1fl77VLg_qA_16_17"/>
      <w:bookmarkStart w:id="1583" w:name="Tc_MSBqdPuAUU6X_0hHZ0aOMA_16_15"/>
      <w:bookmarkStart w:id="1584" w:name="Tc__J0owDCG70G_tZBTK8bI5g_16_14"/>
      <w:bookmarkStart w:id="1585" w:name="Tc_FU01CMBMG0KD4Myp-N4QdA_16_11"/>
      <w:bookmarkStart w:id="1586" w:name="Tc_-zY6NPc4MkKaHr-ewHaWLw_16_8"/>
      <w:bookmarkStart w:id="1587" w:name="Tc_uA_nhhkHQkC5F4ohEyNAzA_16_5"/>
      <w:bookmarkStart w:id="1588" w:name="Tc_5PqgPn_B90SGOlJQhWyjow_16_2"/>
      <w:bookmarkStart w:id="1589" w:name="Tc_Zg0iy20AI0ih8AjMc-qOpg_16_0"/>
      <w:bookmarkStart w:id="1590" w:name="Tc_ZMU3Rd8vbEGgBwsONYsYQg_15_20"/>
      <w:bookmarkStart w:id="1591" w:name="Tc_iVCzdj9x00yctnHPI4-T0w_15_17"/>
      <w:bookmarkStart w:id="1592" w:name="Tc_CU7PUYSKN0aAinUCOWxWqw_15_15"/>
      <w:bookmarkStart w:id="1593" w:name="Tc_YNukLblcDEa2cCHQq-dnkw_15_14"/>
      <w:bookmarkStart w:id="1594" w:name="Tc_RaP5kBtsPUGHchdKMTeK1g_15_11"/>
      <w:bookmarkStart w:id="1595" w:name="Tc_hVNtnq8s_0K-r-eoKSdOdA_15_8"/>
      <w:bookmarkStart w:id="1596" w:name="Tc_l0LXrgB4dEWW3JO6Q4SDiw_15_5"/>
      <w:bookmarkStart w:id="1597" w:name="Tc_2c8vRqKa10-gVfgwJZIFlA_15_2"/>
      <w:bookmarkStart w:id="1598" w:name="Tc_jULZyVHvhke0bDcJV4jpZQ_15_0"/>
      <w:bookmarkStart w:id="1599" w:name="Tc_c0DOFESt-U2ZR9cQOgUKyQ_13_20"/>
      <w:bookmarkStart w:id="1600" w:name="Tc_IuPyju2w9ESQNgEF_4jk9Q_13_17"/>
      <w:bookmarkStart w:id="1601" w:name="Tc_PoYWwyJeyU2hFJOIf1Qmag_13_14"/>
      <w:bookmarkStart w:id="1602" w:name="Tc_5EgSwLNTMk2J_I4ifoNSrA_13_11"/>
      <w:bookmarkStart w:id="1603" w:name="Tc_VvgHKyYrUk6zSePdwqYR9g_13_8"/>
      <w:bookmarkStart w:id="1604" w:name="Tc_XPBxOI4JDU2Ys3zisq1TmA_13_5"/>
      <w:bookmarkStart w:id="1605" w:name="Tc_t3Xiw93CNUiVtM3dwUHbDQ_13_2"/>
      <w:bookmarkStart w:id="1606" w:name="Tc_tvxL5V9-fUSv78S6IWP8JQ_13_0"/>
      <w:bookmarkStart w:id="1607" w:name="Tc_QlGikW3Y3kq9IVkx4mKYRw_12_18"/>
      <w:bookmarkStart w:id="1608" w:name="Tc_qshLYU0sMECDKpePhySSnw_12_15"/>
      <w:bookmarkStart w:id="1609" w:name="Tc_ClkM0kvhf0eCMaWWK-mkeA_12_0"/>
      <w:bookmarkStart w:id="1610" w:name="Tc_FFyE_xNkskyQ0ihkf3gOOQ_11_15"/>
      <w:bookmarkStart w:id="1611" w:name="Tc_tmKSDnq12kiD1hUk3Ys-8Q_11_0"/>
      <w:bookmarkStart w:id="1612" w:name="Tc_5OPxY_NXUkGqu2STAh5zWw_10_18"/>
      <w:bookmarkStart w:id="1613" w:name="Tc_6X6YaPsz5k6Cr4gbFOa0qg_10_0"/>
      <w:bookmarkStart w:id="1614" w:name="Tc_puLi4vaTwEea3Q-GdmMD-A_9_18"/>
      <w:bookmarkStart w:id="1615" w:name="Tc_bqNwpBpt3UO8Xg27UHqo5A_9_0"/>
      <w:bookmarkStart w:id="1616" w:name="Tc_rJLBJkgSE0CN1pLBpBFaQg_8_21"/>
      <w:bookmarkStart w:id="1617" w:name="Tc_edkiZMkAKEuiWKscw6Qh6Q_8_18"/>
      <w:bookmarkStart w:id="1618" w:name="Tc_blL05HwOxE2duu6WrH5Acw_8_9"/>
      <w:bookmarkStart w:id="1619" w:name="Tc_mINu3IQj-UGL2Y-UD3qUMQ_8_3"/>
      <w:bookmarkStart w:id="1620" w:name="Tc_0JFzFdr5yUWf5FpGFTNKCA_8_0"/>
      <w:bookmarkStart w:id="1621" w:name="Tc_v9HtIPgzk0SEaEpwIy-M_w_7_20"/>
      <w:bookmarkStart w:id="1622" w:name="Tc_njuIXCsj9k6ukT1nfvvFzg_7_18"/>
      <w:bookmarkStart w:id="1623" w:name="Tc_sEHiUzaX80CD66ix0wbFDA_7_17"/>
      <w:bookmarkStart w:id="1624" w:name="Tc__CS1RL9ky0ifg7nwFxEvuQ_7_15"/>
      <w:bookmarkStart w:id="1625" w:name="Tc_5-kwZh0_NUuzHOA5ITbD_w_7_14"/>
      <w:bookmarkStart w:id="1626" w:name="Tc_P-RiLizUr0mKjF3ay-6AyQ_7_11"/>
      <w:bookmarkStart w:id="1627" w:name="Tc_7hu0LOE4YUu-S6Y_-lUTIg_7_8"/>
      <w:bookmarkStart w:id="1628" w:name="Tc__3l4F8SsAEim1_dYAN0N0A_7_5"/>
      <w:bookmarkStart w:id="1629" w:name="Tc_3KOQHk4hgkubQ5kcg3HZOw_7_2"/>
      <w:bookmarkStart w:id="1630" w:name="Tc_h4QFM68vM0-5bIc7Es6Q1A_7_0"/>
      <w:bookmarkStart w:id="1631" w:name="Tc_SnDP9qORIE-KSI5QZmnXKw_6_0"/>
      <w:bookmarkStart w:id="1632" w:name="Tc_ujNf4STkq02O5xdO3hZPfQ_5_20"/>
      <w:bookmarkStart w:id="1633" w:name="Tc_bPGTf9mxsUudS1Slfy8nqw_5_17"/>
      <w:bookmarkStart w:id="1634" w:name="Tc_NPyWYEwiYECLLO1aMZhBLw_5_14"/>
      <w:bookmarkStart w:id="1635" w:name="Tc_1b35M5t12E-3daQpi_2P6w_5_11"/>
      <w:bookmarkStart w:id="1636" w:name="Tc_S0A2dB-jh0SF7BAbGIMiVg_5_8"/>
      <w:bookmarkStart w:id="1637" w:name="Tc_eibomsrc4kW7XWDkawQfiA_5_5"/>
      <w:bookmarkStart w:id="1638" w:name="Tc_DO_47BZVpEqncs7i_OWB2Q_5_2"/>
      <w:bookmarkStart w:id="1639" w:name="Tc_zW2emoWfk0aRVBOiHErgIA_4_17"/>
      <w:bookmarkStart w:id="1640" w:name="Tc_-yZ2E4xSSUaXHl4t213r-A_4_14"/>
      <w:bookmarkStart w:id="1641" w:name="Tc_Rpaa7LqhPkOa6nc8JBSuXA_4_11"/>
      <w:bookmarkStart w:id="1642" w:name="Tc_mlgMNJXsu0WnA0tElJ44lw_4_8"/>
      <w:bookmarkStart w:id="1643" w:name="Tc_QeVJPw-LQ0SAysaWmUho9g_4_5"/>
      <w:bookmarkStart w:id="1644" w:name="Tc_yBRU58L34U612y9SgXAKKg_4_2"/>
      <w:bookmarkStart w:id="1645" w:name="Tc__yZ0bfkbCk-M41rH-P6P3A_3_11"/>
      <w:bookmarkStart w:id="1646" w:name="Tc_IQE-ylIRCUqEIZIBxWx-Ew_3_5"/>
      <w:bookmarkStart w:id="1647" w:name="Tc_7ydtwihXVE-yp0x8X9Yd3g_2_5"/>
      <w:bookmarkStart w:id="1648" w:name="Tc_Ijtx8iR_HUebIzZMvrgL_A_1_2"/>
      <w:bookmarkStart w:id="1649" w:name="_dad65788_3ec4_4bd4_add4_54cd0ba79ad3"/>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r>
        <w:rPr>
          <w:rFonts w:ascii="Times New Roman;Times;serif" w:hAnsi="Times New Roman;Times;serif"/>
          <w:sz w:val="20"/>
        </w:rPr>
        <w:t>The following tables present our results of operations and identifiable assets by our three industry segments, along with amounts for intersegment eliminations and unallocated corporate items, which are reconciled to consolidated amounts (in thousands):</w:t>
      </w:r>
    </w:p>
    <w:p>
      <w:pPr>
        <w:pStyle w:val="TextBody"/>
        <w:bidi w:val="0"/>
        <w:spacing w:before="0" w:after="0"/>
        <w:ind w:left="0" w:right="0" w:hanging="0"/>
        <w:jc w:val="left"/>
        <w:rPr/>
      </w:pPr>
      <w:r>
        <w:rPr/>
        <w:t>​</w:t>
      </w:r>
    </w:p>
    <w:tbl>
      <w:tblPr>
        <w:tblW w:w="11494" w:type="dxa"/>
        <w:jc w:val="left"/>
        <w:tblInd w:w="0" w:type="dxa"/>
        <w:tblLayout w:type="fixed"/>
        <w:tblCellMar>
          <w:top w:w="0" w:type="dxa"/>
          <w:left w:w="0" w:type="dxa"/>
          <w:bottom w:w="0" w:type="dxa"/>
          <w:right w:w="0" w:type="dxa"/>
        </w:tblCellMar>
      </w:tblPr>
      <w:tblGrid>
        <w:gridCol w:w="1336"/>
        <w:gridCol w:w="346"/>
        <w:gridCol w:w="211"/>
        <w:gridCol w:w="931"/>
        <w:gridCol w:w="346"/>
        <w:gridCol w:w="265"/>
        <w:gridCol w:w="981"/>
        <w:gridCol w:w="346"/>
        <w:gridCol w:w="211"/>
        <w:gridCol w:w="781"/>
        <w:gridCol w:w="346"/>
        <w:gridCol w:w="211"/>
        <w:gridCol w:w="931"/>
        <w:gridCol w:w="346"/>
        <w:gridCol w:w="234"/>
        <w:gridCol w:w="817"/>
        <w:gridCol w:w="346"/>
        <w:gridCol w:w="211"/>
        <w:gridCol w:w="765"/>
        <w:gridCol w:w="346"/>
        <w:gridCol w:w="211"/>
        <w:gridCol w:w="97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848360" cy="175260"/>
                      <wp:effectExtent l="0" t="0" r="0" b="0"/>
                      <wp:wrapNone/>
                      <wp:docPr id="575" name="Frame573"/>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76"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3985" cy="175260"/>
                      <wp:effectExtent l="0" t="0" r="0" b="0"/>
                      <wp:wrapNone/>
                      <wp:docPr id="577" name="Frame5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91185" cy="175260"/>
                      <wp:effectExtent l="0" t="0" r="0" b="0"/>
                      <wp:wrapNone/>
                      <wp:docPr id="578" name="Frame5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79"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68275" cy="175260"/>
                      <wp:effectExtent l="0" t="0" r="0" b="0"/>
                      <wp:wrapNone/>
                      <wp:docPr id="580" name="Frame57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22935" cy="175260"/>
                      <wp:effectExtent l="0" t="0" r="0" b="0"/>
                      <wp:wrapNone/>
                      <wp:docPr id="581" name="Frame57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82"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33985" cy="175260"/>
                      <wp:effectExtent l="0" t="0" r="0" b="0"/>
                      <wp:wrapNone/>
                      <wp:docPr id="583" name="Frame5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95935" cy="175260"/>
                      <wp:effectExtent l="0" t="0" r="0" b="0"/>
                      <wp:wrapNone/>
                      <wp:docPr id="584" name="Frame5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85" name="Frame5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86" name="Frame5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591185" cy="175260"/>
                      <wp:effectExtent l="0" t="0" r="0" b="0"/>
                      <wp:wrapNone/>
                      <wp:docPr id="587" name="Frame5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88" name="Frame5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48590" cy="175260"/>
                      <wp:effectExtent l="0" t="0" r="0" b="0"/>
                      <wp:wrapNone/>
                      <wp:docPr id="589" name="Frame58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518795" cy="175260"/>
                      <wp:effectExtent l="0" t="0" r="0" b="0"/>
                      <wp:wrapNone/>
                      <wp:docPr id="590" name="Frame588"/>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1"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92" name="Frame5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85775" cy="175260"/>
                      <wp:effectExtent l="0" t="0" r="0" b="0"/>
                      <wp:wrapNone/>
                      <wp:docPr id="593" name="Frame591"/>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19710" cy="175260"/>
                      <wp:effectExtent l="0" t="0" r="0" b="0"/>
                      <wp:wrapNone/>
                      <wp:docPr id="594"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33985" cy="175260"/>
                      <wp:effectExtent l="0" t="0" r="0" b="0"/>
                      <wp:wrapNone/>
                      <wp:docPr id="595" name="Frame5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19760" cy="175260"/>
                      <wp:effectExtent l="0" t="0" r="0" b="0"/>
                      <wp:wrapNone/>
                      <wp:docPr id="596" name="Frame59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812"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Optoelectronics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Security</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Healthcare</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  ​ ​ ​</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 customer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1,043,073</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1,538,758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1,538,758</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1,043,073</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1,598,776</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1,538,758</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681,531</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1,067,595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1,008,300</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134,401</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228,776</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269,731</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43,196</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65,275</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income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183,945</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237,130</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195,452</w:t>
            </w:r>
          </w:p>
        </w:tc>
      </w:tr>
      <w:tr>
        <w:trPr/>
        <w:tc>
          <w:tcPr>
            <w:tcW w:w="1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1,333,259</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1,876,981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1,936,008</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11,997</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22,102</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25,831</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40,665</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42,209</w:t>
            </w:r>
          </w:p>
        </w:tc>
      </w:tr>
      <w:tr>
        <w:trPr/>
        <w:tc>
          <w:tcPr>
            <w:tcW w:w="1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consolidated income from operations – Fiscal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segment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195,452</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restructuring and other charges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189,061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Normal"/>
        <w:bidi w:val="0"/>
        <w:spacing w:before="0" w:after="0"/>
        <w:jc w:val="left"/>
        <w:rPr>
          <w:sz w:val="4"/>
          <w:szCs w:val="4"/>
        </w:rPr>
      </w:pPr>
      <w:r>
        <w:rPr>
          <w:sz w:val="4"/>
          <w:szCs w:val="4"/>
        </w:rPr>
      </w:r>
      <w:bookmarkStart w:id="1650" w:name="Tc_1X5mNof2CEqEcc3PBSAxmg_22_20"/>
      <w:bookmarkStart w:id="1651" w:name="Tc_6cz_NHKCbU-tcHU1iFmPVg_22_18"/>
      <w:bookmarkStart w:id="1652" w:name="Tc_HszaM8lGaUu2-8vt4u6KXw_22_15"/>
      <w:bookmarkStart w:id="1653" w:name="Tc_z4iiMlNxb0e1esox4vDQBw_22_12"/>
      <w:bookmarkStart w:id="1654" w:name="Tc_qJ4y8kMKG0mDuLUoSzWVUA_22_9"/>
      <w:bookmarkStart w:id="1655" w:name="Tc_ldcR9gXaO0m8irhoyThWaw_22_6"/>
      <w:bookmarkStart w:id="1656" w:name="Tc_k_HffuXO0kiC26ZgIyiBng_22_3"/>
      <w:bookmarkStart w:id="1657" w:name="Tc_Ts_hre5RSE6oaxnRKF1mFA_22_0"/>
      <w:bookmarkStart w:id="1658" w:name="Tc_ZnrfcCH1AE2Q0Q-99H8mdQ_21_18"/>
      <w:bookmarkStart w:id="1659" w:name="Tc_UWHRWIFUm02eyM-kEfjSEw_21_15"/>
      <w:bookmarkStart w:id="1660" w:name="Tc_L7jt5l9ax0eR_wKI3vAOqw_21_12"/>
      <w:bookmarkStart w:id="1661" w:name="Tc_K9JEbcGTTE-W8G_29fgi-A_21_9"/>
      <w:bookmarkStart w:id="1662" w:name="Tc_mluY73G7LU6pHfyK-aJZyw_21_6"/>
      <w:bookmarkStart w:id="1663" w:name="Tc_cJO9MaBKPUy3t8lQjSKVxA_21_3"/>
      <w:bookmarkStart w:id="1664" w:name="Tc_8QeOeJBUb0679WcZQhoPVw_21_0"/>
      <w:bookmarkStart w:id="1665" w:name="Tc_nIhc1dusnku2dOC9s93qVw_20_20"/>
      <w:bookmarkStart w:id="1666" w:name="Tc_E_JSfHuNukmZMOxH73MV9w_20_18"/>
      <w:bookmarkStart w:id="1667" w:name="Tc_0-Cf0wbXPU6I3ixxFbYqbA_20_15"/>
      <w:bookmarkStart w:id="1668" w:name="Tc_eFmeSTGhUkWRQIQ-b76s3Q_20_12"/>
      <w:bookmarkStart w:id="1669" w:name="Tc_PGAiigdyoEa5BzlOWd17kA_20_9"/>
      <w:bookmarkStart w:id="1670" w:name="Tc_sG0vD-ispUCytHQ5R1XiYw_20_6"/>
      <w:bookmarkStart w:id="1671" w:name="Tc_iDE9oKywOUi-ED771aHTSQ_20_3"/>
      <w:bookmarkStart w:id="1672" w:name="Tc_d9TOoYukGEe2l0pAiSxRZg_20_0"/>
      <w:bookmarkStart w:id="1673" w:name="Tc_dg4-xELp9kaQwGsOmZNp5A_19_0"/>
      <w:bookmarkStart w:id="1674" w:name="Tc_fHHsJmlnukajILRaZAXXZQ_17_17"/>
      <w:bookmarkStart w:id="1675" w:name="Tc_sIBvUz4FXEOYyH58M-k43g_17_15"/>
      <w:bookmarkStart w:id="1676" w:name="Tc_KNcdBiTLZEigm-n4d5EcwA_17_14"/>
      <w:bookmarkStart w:id="1677" w:name="Tc_OyFF6-aBi0mn8o1rQKhbKQ_17_11"/>
      <w:bookmarkStart w:id="1678" w:name="Tc_jdQll_nO3U-Zk5gy9MTjWA_17_8"/>
      <w:bookmarkStart w:id="1679" w:name="Tc_iSYjBfIzk0iUIcasg5EpNg_17_5"/>
      <w:bookmarkStart w:id="1680" w:name="Tc_Hpnyk-n50Ue3A0jp7X-Igw_17_2"/>
      <w:bookmarkStart w:id="1681" w:name="Tc_c3fuwTUZL0-SdeRBa93nYA_17_0"/>
      <w:bookmarkStart w:id="1682" w:name="Tc_LAQXLfrEhUeUwzRkGQnmsA_16_17"/>
      <w:bookmarkStart w:id="1683" w:name="Tc_1LkKSwt3SE6T7ws3J1fLZw_16_15"/>
      <w:bookmarkStart w:id="1684" w:name="Tc_3633nOtepU24lsiSpMMbdA_16_14"/>
      <w:bookmarkStart w:id="1685" w:name="Tc_Dm5SEwpAOkaRxqM_Wd2D0g_16_11"/>
      <w:bookmarkStart w:id="1686" w:name="Tc_bms4jtpLV0GhG-9ga7dh5w_16_8"/>
      <w:bookmarkStart w:id="1687" w:name="Tc_LANjwwEr6Ea1F7UU3nafWA_16_5"/>
      <w:bookmarkStart w:id="1688" w:name="Tc_KHloLtmB-kmg0NjdA_67_w_16_2"/>
      <w:bookmarkStart w:id="1689" w:name="Tc_YXbMjJd2uki_cXSSXW95NA_16_0"/>
      <w:bookmarkStart w:id="1690" w:name="Tc_xEtgBYSZwkawQS2Fn7MQ3g_15_17"/>
      <w:bookmarkStart w:id="1691" w:name="Tc_YjkmTk1C30SQRCMOhSsipA_15_15"/>
      <w:bookmarkStart w:id="1692" w:name="Tc_N5tDuJG-bESEvipbEZ-Mjw_15_14"/>
      <w:bookmarkStart w:id="1693" w:name="Tc_kngf3OGHBk-7uGOy-jYGSw_15_11"/>
      <w:bookmarkStart w:id="1694" w:name="Tc_9dgnkDtbAkqmUmQdSSzZPg_15_8"/>
      <w:bookmarkStart w:id="1695" w:name="Tc_hH8ME16HXUKFNdvhJALtYg_15_5"/>
      <w:bookmarkStart w:id="1696" w:name="Tc_cqdQWwK_dkm_oFGsoj_Rag_15_2"/>
      <w:bookmarkStart w:id="1697" w:name="Tc_O5Sr7NufSUOmrJba6qJyWQ_15_0"/>
      <w:bookmarkStart w:id="1698" w:name="Tc_2I-J6SuIkkeCpJOLn1SbdA_13_20"/>
      <w:bookmarkStart w:id="1699" w:name="Tc_sw7RjSrBjUObEHLewd822g_13_17"/>
      <w:bookmarkStart w:id="1700" w:name="Tc_B6RlFNHkS06pC6SepA15fQ_13_14"/>
      <w:bookmarkStart w:id="1701" w:name="Tc_W39Y4phJOEy0JDBaqy9uBw_13_11"/>
      <w:bookmarkStart w:id="1702" w:name="Tc_ucMm-RxHbUuMNcWQKfrKlQ_13_8"/>
      <w:bookmarkStart w:id="1703" w:name="Tc_zd0uLugaYEmofrjTMTnp3A_13_5"/>
      <w:bookmarkStart w:id="1704" w:name="Tc_JIKwnj6gLk6eaYNaHWBzWg_13_2"/>
      <w:bookmarkStart w:id="1705" w:name="Tc_lKdhBWnZLUKREJcrMKp1DA_13_0"/>
      <w:bookmarkStart w:id="1706" w:name="Tc_3uvRgXsW_UKr0TYpXue5tw_12_18"/>
      <w:bookmarkStart w:id="1707" w:name="Tc_vlmyvHnJ4kypLB2gs8yYHQ_12_15"/>
      <w:bookmarkStart w:id="1708" w:name="Tc_FazjDr2Q802VhJrDhVWDaw_12_0"/>
      <w:bookmarkStart w:id="1709" w:name="Tc_BpczAoFQgk-DyWQ7KXtnDw_11_15"/>
      <w:bookmarkStart w:id="1710" w:name="Tc_iGVfX0Qr5UmBFgaF1OTcyA_11_0"/>
      <w:bookmarkStart w:id="1711" w:name="Tc_eTh18Onp60-NF-3ihP5OnQ_10_18"/>
      <w:bookmarkStart w:id="1712" w:name="Tc_-5ldmefHyEmEEQoksOnFlA_10_0"/>
      <w:bookmarkStart w:id="1713" w:name="Tc_CXTlX2osLECyB0RaMVavNQ_9_18"/>
      <w:bookmarkStart w:id="1714" w:name="Tc_hki-chcMBUGpzD0ncUEYHg_9_0"/>
      <w:bookmarkStart w:id="1715" w:name="Tc_n0yKZj8vyU21OssUOIBBhQ_8_21"/>
      <w:bookmarkStart w:id="1716" w:name="Tc_L5PnLogavk65kTvSyCKpJA_8_18"/>
      <w:bookmarkStart w:id="1717" w:name="Tc_PkK_m13mrkCkJQECnHOy1Q_8_9"/>
      <w:bookmarkStart w:id="1718" w:name="Tc_Ao_HBV3I3k2b0rCxEQ5c-w_8_3"/>
      <w:bookmarkStart w:id="1719" w:name="Tc_-sNdPQYTAUG10Q5GOafMGQ_8_0"/>
      <w:bookmarkStart w:id="1720" w:name="Tc_ocvkznKVJk-9PvCRRf9CQA_7_20"/>
      <w:bookmarkStart w:id="1721" w:name="Tc_9X59fBef7Eu5is7F7WH54A_7_18"/>
      <w:bookmarkStart w:id="1722" w:name="Tc_OTlYyEu1vE-LiqKvAHktxw_7_17"/>
      <w:bookmarkStart w:id="1723" w:name="Tc_15FTRf7e9kaRa3_MsIcaJw_7_15"/>
      <w:bookmarkStart w:id="1724" w:name="Tc_uPaHXGg_yUSEOKTtiLHVIg_7_14"/>
      <w:bookmarkStart w:id="1725" w:name="Tc_wYJLQf8jx02xGQ-lkpNBeQ_7_11"/>
      <w:bookmarkStart w:id="1726" w:name="Tc_bbzcg0knH0679aGhyqwOUw_7_8"/>
      <w:bookmarkStart w:id="1727" w:name="Tc_V5IoE3xd0ESx3xK-1hcH_g_7_5"/>
      <w:bookmarkStart w:id="1728" w:name="Tc_pcl85Q-0aEuhOVHkNh8vuw_7_2"/>
      <w:bookmarkStart w:id="1729" w:name="Tc_qYX_RtlvR0yBqXn4yV02Lw_7_0"/>
      <w:bookmarkStart w:id="1730" w:name="Tc_LNUTIsieZkG5flW6IlcOnw_6_0"/>
      <w:bookmarkStart w:id="1731" w:name="Tc_bl2eOj9AokG35_DB471bUQ_5_20"/>
      <w:bookmarkStart w:id="1732" w:name="Tc_84RIi-PW0EywH41WVFwMSg_5_17"/>
      <w:bookmarkStart w:id="1733" w:name="Tc_Pql9FkMeOEOLQ152X48-Yw_5_14"/>
      <w:bookmarkStart w:id="1734" w:name="Tc_IJeO7Z6QNE2_Pc6q5ZPAfA_5_11"/>
      <w:bookmarkStart w:id="1735" w:name="Tc_r1yEAhhATk6EosGhjcxV4A_5_8"/>
      <w:bookmarkStart w:id="1736" w:name="Tc_TaUfIsqYMEGL19iQNVOwYw_5_5"/>
      <w:bookmarkStart w:id="1737" w:name="Tc_DUdKGEDttki_UWL9sIre2Q_5_2"/>
      <w:bookmarkStart w:id="1738" w:name="Tc_sKYMbeO13EuH6RoqHqzlOQ_4_17"/>
      <w:bookmarkStart w:id="1739" w:name="Tc_dAD7NO3df0664I6zsMqAxg_4_14"/>
      <w:bookmarkStart w:id="1740" w:name="Tc_jnIEb6eg1USk8kuiLzgx5A_4_11"/>
      <w:bookmarkStart w:id="1741" w:name="Tc_SEpuZfaWq0u1wbeTpb0ILA_4_8"/>
      <w:bookmarkStart w:id="1742" w:name="Tc_wBY7z30Q2UaFBQAB0JTARQ_4_5"/>
      <w:bookmarkStart w:id="1743" w:name="Tc_NsDeRFodV0CUhh0rE8QGLA_4_2"/>
      <w:bookmarkStart w:id="1744" w:name="Tc_bw69NamMeEyrT9h3C39RPw_3_11"/>
      <w:bookmarkStart w:id="1745" w:name="Tc_gVt_nf6_aUq_giYHRJj6dQ_3_5"/>
      <w:bookmarkStart w:id="1746" w:name="Tc_5048SPtz5UeWC7TLv1uPSA_2_5"/>
      <w:bookmarkStart w:id="1747" w:name="Tc_6DigROfQwEuSyq2sozX8LQ_1_2"/>
      <w:bookmarkStart w:id="1748" w:name="_125c31c8_34ac_46f8_ab79_fdeccf9d25d7"/>
      <w:bookmarkStart w:id="1749" w:name="Tc_1X5mNof2CEqEcc3PBSAxmg_22_20"/>
      <w:bookmarkStart w:id="1750" w:name="Tc_6cz_NHKCbU-tcHU1iFmPVg_22_18"/>
      <w:bookmarkStart w:id="1751" w:name="Tc_HszaM8lGaUu2-8vt4u6KXw_22_15"/>
      <w:bookmarkStart w:id="1752" w:name="Tc_z4iiMlNxb0e1esox4vDQBw_22_12"/>
      <w:bookmarkStart w:id="1753" w:name="Tc_qJ4y8kMKG0mDuLUoSzWVUA_22_9"/>
      <w:bookmarkStart w:id="1754" w:name="Tc_ldcR9gXaO0m8irhoyThWaw_22_6"/>
      <w:bookmarkStart w:id="1755" w:name="Tc_k_HffuXO0kiC26ZgIyiBng_22_3"/>
      <w:bookmarkStart w:id="1756" w:name="Tc_Ts_hre5RSE6oaxnRKF1mFA_22_0"/>
      <w:bookmarkStart w:id="1757" w:name="Tc_ZnrfcCH1AE2Q0Q-99H8mdQ_21_18"/>
      <w:bookmarkStart w:id="1758" w:name="Tc_UWHRWIFUm02eyM-kEfjSEw_21_15"/>
      <w:bookmarkStart w:id="1759" w:name="Tc_L7jt5l9ax0eR_wKI3vAOqw_21_12"/>
      <w:bookmarkStart w:id="1760" w:name="Tc_K9JEbcGTTE-W8G_29fgi-A_21_9"/>
      <w:bookmarkStart w:id="1761" w:name="Tc_mluY73G7LU6pHfyK-aJZyw_21_6"/>
      <w:bookmarkStart w:id="1762" w:name="Tc_cJO9MaBKPUy3t8lQjSKVxA_21_3"/>
      <w:bookmarkStart w:id="1763" w:name="Tc_8QeOeJBUb0679WcZQhoPVw_21_0"/>
      <w:bookmarkStart w:id="1764" w:name="Tc_nIhc1dusnku2dOC9s93qVw_20_20"/>
      <w:bookmarkStart w:id="1765" w:name="Tc_E_JSfHuNukmZMOxH73MV9w_20_18"/>
      <w:bookmarkStart w:id="1766" w:name="Tc_0-Cf0wbXPU6I3ixxFbYqbA_20_15"/>
      <w:bookmarkStart w:id="1767" w:name="Tc_eFmeSTGhUkWRQIQ-b76s3Q_20_12"/>
      <w:bookmarkStart w:id="1768" w:name="Tc_PGAiigdyoEa5BzlOWd17kA_20_9"/>
      <w:bookmarkStart w:id="1769" w:name="Tc_sG0vD-ispUCytHQ5R1XiYw_20_6"/>
      <w:bookmarkStart w:id="1770" w:name="Tc_iDE9oKywOUi-ED771aHTSQ_20_3"/>
      <w:bookmarkStart w:id="1771" w:name="Tc_d9TOoYukGEe2l0pAiSxRZg_20_0"/>
      <w:bookmarkStart w:id="1772" w:name="Tc_dg4-xELp9kaQwGsOmZNp5A_19_0"/>
      <w:bookmarkStart w:id="1773" w:name="Tc_fHHsJmlnukajILRaZAXXZQ_17_17"/>
      <w:bookmarkStart w:id="1774" w:name="Tc_sIBvUz4FXEOYyH58M-k43g_17_15"/>
      <w:bookmarkStart w:id="1775" w:name="Tc_KNcdBiTLZEigm-n4d5EcwA_17_14"/>
      <w:bookmarkStart w:id="1776" w:name="Tc_OyFF6-aBi0mn8o1rQKhbKQ_17_11"/>
      <w:bookmarkStart w:id="1777" w:name="Tc_jdQll_nO3U-Zk5gy9MTjWA_17_8"/>
      <w:bookmarkStart w:id="1778" w:name="Tc_iSYjBfIzk0iUIcasg5EpNg_17_5"/>
      <w:bookmarkStart w:id="1779" w:name="Tc_Hpnyk-n50Ue3A0jp7X-Igw_17_2"/>
      <w:bookmarkStart w:id="1780" w:name="Tc_c3fuwTUZL0-SdeRBa93nYA_17_0"/>
      <w:bookmarkStart w:id="1781" w:name="Tc_LAQXLfrEhUeUwzRkGQnmsA_16_17"/>
      <w:bookmarkStart w:id="1782" w:name="Tc_1LkKSwt3SE6T7ws3J1fLZw_16_15"/>
      <w:bookmarkStart w:id="1783" w:name="Tc_3633nOtepU24lsiSpMMbdA_16_14"/>
      <w:bookmarkStart w:id="1784" w:name="Tc_Dm5SEwpAOkaRxqM_Wd2D0g_16_11"/>
      <w:bookmarkStart w:id="1785" w:name="Tc_bms4jtpLV0GhG-9ga7dh5w_16_8"/>
      <w:bookmarkStart w:id="1786" w:name="Tc_LANjwwEr6Ea1F7UU3nafWA_16_5"/>
      <w:bookmarkStart w:id="1787" w:name="Tc_KHloLtmB-kmg0NjdA_67_w_16_2"/>
      <w:bookmarkStart w:id="1788" w:name="Tc_YXbMjJd2uki_cXSSXW95NA_16_0"/>
      <w:bookmarkStart w:id="1789" w:name="Tc_xEtgBYSZwkawQS2Fn7MQ3g_15_17"/>
      <w:bookmarkStart w:id="1790" w:name="Tc_YjkmTk1C30SQRCMOhSsipA_15_15"/>
      <w:bookmarkStart w:id="1791" w:name="Tc_N5tDuJG-bESEvipbEZ-Mjw_15_14"/>
      <w:bookmarkStart w:id="1792" w:name="Tc_kngf3OGHBk-7uGOy-jYGSw_15_11"/>
      <w:bookmarkStart w:id="1793" w:name="Tc_9dgnkDtbAkqmUmQdSSzZPg_15_8"/>
      <w:bookmarkStart w:id="1794" w:name="Tc_hH8ME16HXUKFNdvhJALtYg_15_5"/>
      <w:bookmarkStart w:id="1795" w:name="Tc_cqdQWwK_dkm_oFGsoj_Rag_15_2"/>
      <w:bookmarkStart w:id="1796" w:name="Tc_O5Sr7NufSUOmrJba6qJyWQ_15_0"/>
      <w:bookmarkStart w:id="1797" w:name="Tc_2I-J6SuIkkeCpJOLn1SbdA_13_20"/>
      <w:bookmarkStart w:id="1798" w:name="Tc_sw7RjSrBjUObEHLewd822g_13_17"/>
      <w:bookmarkStart w:id="1799" w:name="Tc_B6RlFNHkS06pC6SepA15fQ_13_14"/>
      <w:bookmarkStart w:id="1800" w:name="Tc_W39Y4phJOEy0JDBaqy9uBw_13_11"/>
      <w:bookmarkStart w:id="1801" w:name="Tc_ucMm-RxHbUuMNcWQKfrKlQ_13_8"/>
      <w:bookmarkStart w:id="1802" w:name="Tc_zd0uLugaYEmofrjTMTnp3A_13_5"/>
      <w:bookmarkStart w:id="1803" w:name="Tc_JIKwnj6gLk6eaYNaHWBzWg_13_2"/>
      <w:bookmarkStart w:id="1804" w:name="Tc_lKdhBWnZLUKREJcrMKp1DA_13_0"/>
      <w:bookmarkStart w:id="1805" w:name="Tc_3uvRgXsW_UKr0TYpXue5tw_12_18"/>
      <w:bookmarkStart w:id="1806" w:name="Tc_vlmyvHnJ4kypLB2gs8yYHQ_12_15"/>
      <w:bookmarkStart w:id="1807" w:name="Tc_FazjDr2Q802VhJrDhVWDaw_12_0"/>
      <w:bookmarkStart w:id="1808" w:name="Tc_BpczAoFQgk-DyWQ7KXtnDw_11_15"/>
      <w:bookmarkStart w:id="1809" w:name="Tc_iGVfX0Qr5UmBFgaF1OTcyA_11_0"/>
      <w:bookmarkStart w:id="1810" w:name="Tc_eTh18Onp60-NF-3ihP5OnQ_10_18"/>
      <w:bookmarkStart w:id="1811" w:name="Tc_-5ldmefHyEmEEQoksOnFlA_10_0"/>
      <w:bookmarkStart w:id="1812" w:name="Tc_CXTlX2osLECyB0RaMVavNQ_9_18"/>
      <w:bookmarkStart w:id="1813" w:name="Tc_hki-chcMBUGpzD0ncUEYHg_9_0"/>
      <w:bookmarkStart w:id="1814" w:name="Tc_n0yKZj8vyU21OssUOIBBhQ_8_21"/>
      <w:bookmarkStart w:id="1815" w:name="Tc_L5PnLogavk65kTvSyCKpJA_8_18"/>
      <w:bookmarkStart w:id="1816" w:name="Tc_PkK_m13mrkCkJQECnHOy1Q_8_9"/>
      <w:bookmarkStart w:id="1817" w:name="Tc_Ao_HBV3I3k2b0rCxEQ5c-w_8_3"/>
      <w:bookmarkStart w:id="1818" w:name="Tc_-sNdPQYTAUG10Q5GOafMGQ_8_0"/>
      <w:bookmarkStart w:id="1819" w:name="Tc_ocvkznKVJk-9PvCRRf9CQA_7_20"/>
      <w:bookmarkStart w:id="1820" w:name="Tc_9X59fBef7Eu5is7F7WH54A_7_18"/>
      <w:bookmarkStart w:id="1821" w:name="Tc_OTlYyEu1vE-LiqKvAHktxw_7_17"/>
      <w:bookmarkStart w:id="1822" w:name="Tc_15FTRf7e9kaRa3_MsIcaJw_7_15"/>
      <w:bookmarkStart w:id="1823" w:name="Tc_uPaHXGg_yUSEOKTtiLHVIg_7_14"/>
      <w:bookmarkStart w:id="1824" w:name="Tc_wYJLQf8jx02xGQ-lkpNBeQ_7_11"/>
      <w:bookmarkStart w:id="1825" w:name="Tc_bbzcg0knH0679aGhyqwOUw_7_8"/>
      <w:bookmarkStart w:id="1826" w:name="Tc_V5IoE3xd0ESx3xK-1hcH_g_7_5"/>
      <w:bookmarkStart w:id="1827" w:name="Tc_pcl85Q-0aEuhOVHkNh8vuw_7_2"/>
      <w:bookmarkStart w:id="1828" w:name="Tc_qYX_RtlvR0yBqXn4yV02Lw_7_0"/>
      <w:bookmarkStart w:id="1829" w:name="Tc_LNUTIsieZkG5flW6IlcOnw_6_0"/>
      <w:bookmarkStart w:id="1830" w:name="Tc_bl2eOj9AokG35_DB471bUQ_5_20"/>
      <w:bookmarkStart w:id="1831" w:name="Tc_84RIi-PW0EywH41WVFwMSg_5_17"/>
      <w:bookmarkStart w:id="1832" w:name="Tc_Pql9FkMeOEOLQ152X48-Yw_5_14"/>
      <w:bookmarkStart w:id="1833" w:name="Tc_IJeO7Z6QNE2_Pc6q5ZPAfA_5_11"/>
      <w:bookmarkStart w:id="1834" w:name="Tc_r1yEAhhATk6EosGhjcxV4A_5_8"/>
      <w:bookmarkStart w:id="1835" w:name="Tc_TaUfIsqYMEGL19iQNVOwYw_5_5"/>
      <w:bookmarkStart w:id="1836" w:name="Tc_DUdKGEDttki_UWL9sIre2Q_5_2"/>
      <w:bookmarkStart w:id="1837" w:name="Tc_sKYMbeO13EuH6RoqHqzlOQ_4_17"/>
      <w:bookmarkStart w:id="1838" w:name="Tc_dAD7NO3df0664I6zsMqAxg_4_14"/>
      <w:bookmarkStart w:id="1839" w:name="Tc_jnIEb6eg1USk8kuiLzgx5A_4_11"/>
      <w:bookmarkStart w:id="1840" w:name="Tc_SEpuZfaWq0u1wbeTpb0ILA_4_8"/>
      <w:bookmarkStart w:id="1841" w:name="Tc_wBY7z30Q2UaFBQAB0JTARQ_4_5"/>
      <w:bookmarkStart w:id="1842" w:name="Tc_NsDeRFodV0CUhh0rE8QGLA_4_2"/>
      <w:bookmarkStart w:id="1843" w:name="Tc_bw69NamMeEyrT9h3C39RPw_3_11"/>
      <w:bookmarkStart w:id="1844" w:name="Tc_gVt_nf6_aUq_giYHRJj6dQ_3_5"/>
      <w:bookmarkStart w:id="1845" w:name="Tc_5048SPtz5UeWC7TLv1uPSA_2_5"/>
      <w:bookmarkStart w:id="1846" w:name="Tc_6DigROfQwEuSyq2sozX8LQ_1_2"/>
      <w:bookmarkStart w:id="1847" w:name="_125c31c8_34ac_46f8_ab79_fdeccf9d25d7"/>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p>
    <w:tbl>
      <w:tblPr>
        <w:tblW w:w="11494" w:type="dxa"/>
        <w:jc w:val="left"/>
        <w:tblInd w:w="0" w:type="dxa"/>
        <w:tblLayout w:type="fixed"/>
        <w:tblCellMar>
          <w:top w:w="0" w:type="dxa"/>
          <w:left w:w="0" w:type="dxa"/>
          <w:bottom w:w="0" w:type="dxa"/>
          <w:right w:w="0" w:type="dxa"/>
        </w:tblCellMar>
      </w:tblPr>
      <w:tblGrid>
        <w:gridCol w:w="1336"/>
        <w:gridCol w:w="346"/>
        <w:gridCol w:w="211"/>
        <w:gridCol w:w="931"/>
        <w:gridCol w:w="346"/>
        <w:gridCol w:w="265"/>
        <w:gridCol w:w="981"/>
        <w:gridCol w:w="346"/>
        <w:gridCol w:w="211"/>
        <w:gridCol w:w="781"/>
        <w:gridCol w:w="346"/>
        <w:gridCol w:w="211"/>
        <w:gridCol w:w="931"/>
        <w:gridCol w:w="346"/>
        <w:gridCol w:w="234"/>
        <w:gridCol w:w="817"/>
        <w:gridCol w:w="346"/>
        <w:gridCol w:w="211"/>
        <w:gridCol w:w="765"/>
        <w:gridCol w:w="346"/>
        <w:gridCol w:w="211"/>
        <w:gridCol w:w="97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848360" cy="175260"/>
                      <wp:effectExtent l="0" t="0" r="0" b="0"/>
                      <wp:wrapNone/>
                      <wp:docPr id="597" name="Frame595"/>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598"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3985" cy="175260"/>
                      <wp:effectExtent l="0" t="0" r="0" b="0"/>
                      <wp:wrapNone/>
                      <wp:docPr id="599" name="Frame5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591185" cy="175260"/>
                      <wp:effectExtent l="0" t="0" r="0" b="0"/>
                      <wp:wrapNone/>
                      <wp:docPr id="600" name="Frame5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9710" cy="175260"/>
                      <wp:effectExtent l="0" t="0" r="0" b="0"/>
                      <wp:wrapNone/>
                      <wp:docPr id="601" name="Frame5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68275" cy="175260"/>
                      <wp:effectExtent l="0" t="0" r="0" b="0"/>
                      <wp:wrapNone/>
                      <wp:docPr id="602" name="Frame60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22935" cy="175260"/>
                      <wp:effectExtent l="0" t="0" r="0" b="0"/>
                      <wp:wrapNone/>
                      <wp:docPr id="603" name="Frame601"/>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19710" cy="175260"/>
                      <wp:effectExtent l="0" t="0" r="0" b="0"/>
                      <wp:wrapNone/>
                      <wp:docPr id="604" name="Frame6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33985" cy="175260"/>
                      <wp:effectExtent l="0" t="0" r="0" b="0"/>
                      <wp:wrapNone/>
                      <wp:docPr id="605"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495935" cy="175260"/>
                      <wp:effectExtent l="0" t="0" r="0" b="0"/>
                      <wp:wrapNone/>
                      <wp:docPr id="606" name="Frame6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7" name="Frame6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608"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91185" cy="175260"/>
                      <wp:effectExtent l="0" t="0" r="0" b="0"/>
                      <wp:wrapNone/>
                      <wp:docPr id="609" name="Frame6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0"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48590" cy="175260"/>
                      <wp:effectExtent l="0" t="0" r="0" b="0"/>
                      <wp:wrapNone/>
                      <wp:docPr id="611" name="Frame60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518795" cy="175260"/>
                      <wp:effectExtent l="0" t="0" r="0" b="0"/>
                      <wp:wrapNone/>
                      <wp:docPr id="612" name="Frame610"/>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3" name="Frame6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3985" cy="175260"/>
                      <wp:effectExtent l="0" t="0" r="0" b="0"/>
                      <wp:wrapNone/>
                      <wp:docPr id="614" name="Frame6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485775" cy="175260"/>
                      <wp:effectExtent l="0" t="0" r="0" b="0"/>
                      <wp:wrapNone/>
                      <wp:docPr id="615" name="Frame61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6"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3985" cy="175260"/>
                      <wp:effectExtent l="0" t="0" r="0" b="0"/>
                      <wp:wrapNone/>
                      <wp:docPr id="617" name="Frame6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19760" cy="175260"/>
                      <wp:effectExtent l="0" t="0" r="0" b="0"/>
                      <wp:wrapNone/>
                      <wp:docPr id="618" name="Frame61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812"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Optoelectronics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Security</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Healthcare</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  ​ ​ ​</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 customer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1,196,180</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1,713,166</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1,713,166</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1,196,180</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1,776,607</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1,713,166</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780,378</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321,397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1,188,309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1,125,984</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157,873</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251,153</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290,879</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51,095</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73,444</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income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206,834</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263,701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222,859</w:t>
            </w:r>
          </w:p>
        </w:tc>
      </w:tr>
      <w:tr>
        <w:trPr/>
        <w:tc>
          <w:tcPr>
            <w:tcW w:w="1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1,608,985</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2,179,818</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2,241,257</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13,933</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23,832</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29,579</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41,918</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43,580</w:t>
            </w:r>
          </w:p>
        </w:tc>
      </w:tr>
      <w:tr>
        <w:trPr/>
        <w:tc>
          <w:tcPr>
            <w:tcW w:w="1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consolidated income from operations – Fiscal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segment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222,859</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restructuring and other charges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217,524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Normal"/>
        <w:bidi w:val="0"/>
        <w:spacing w:before="0" w:after="0"/>
        <w:jc w:val="left"/>
        <w:rPr>
          <w:sz w:val="4"/>
          <w:szCs w:val="4"/>
        </w:rPr>
      </w:pPr>
      <w:r>
        <w:rPr>
          <w:sz w:val="4"/>
          <w:szCs w:val="4"/>
        </w:rPr>
      </w:r>
      <w:bookmarkStart w:id="1848" w:name="Tc_hUTHQD0AnEeqORzsyXWrjw_14_14"/>
      <w:bookmarkStart w:id="1849" w:name="Tc_dobEhfJL6U6R_hoCCP_9Cg_14_11"/>
      <w:bookmarkStart w:id="1850" w:name="Tc_f9uykKugHEigBdlPvobTnQ_14_8"/>
      <w:bookmarkStart w:id="1851" w:name="Tc_KAokHhqBUk6cAIuGIoY98g_14_6"/>
      <w:bookmarkStart w:id="1852" w:name="Tc__wddlz_owkyiCKCF89mQjw_14_5"/>
      <w:bookmarkStart w:id="1853" w:name="Tc_aiOuMLmEWkKKDTFpP92WIQ_14_2"/>
      <w:bookmarkStart w:id="1854" w:name="Tc_C_jpQDtSxEK27VLLIbHkEg_14_0"/>
      <w:bookmarkStart w:id="1855" w:name="Tc_GO1XAiB2nkCfKpOq242HTQ_13_15"/>
      <w:bookmarkStart w:id="1856" w:name="Tc_Wb9cIFYaC0-4AythduXWnA_13_12"/>
      <w:bookmarkStart w:id="1857" w:name="Tc_MOCabiEnJ0aA54Yj8334ww_13_3"/>
      <w:bookmarkStart w:id="1858" w:name="Tc_1WMt9OFK00eJRI-QFnKxmg_13_0"/>
      <w:bookmarkStart w:id="1859" w:name="Tc_VkVHlmW6D0u7C0HvoNKS5g_12_0"/>
      <w:bookmarkStart w:id="1860" w:name="Tc_2jJAwZhcUEWOwWBMnC7vkA_11_0"/>
      <w:bookmarkStart w:id="1861" w:name="Tc_uDbmruAiSk-qMe_5ViLqcw_10_6"/>
      <w:bookmarkStart w:id="1862" w:name="Tc_7dHHHMrQUkGyr9uHXqs7Kw_10_0"/>
      <w:bookmarkStart w:id="1863" w:name="Tc_RX6unVMVTUuUY4k9TQgoxA_9_0"/>
      <w:bookmarkStart w:id="1864" w:name="Tc_DObd78nZo0yNT0fUis0zMg_8_0"/>
      <w:bookmarkStart w:id="1865" w:name="Tc_k-X7n8emLk-DUFJdQ2yYYQ_7_6"/>
      <w:bookmarkStart w:id="1866" w:name="Tc_TnDHKa9wNUOaMafsM3V04g_7_0"/>
      <w:bookmarkStart w:id="1867" w:name="Tc_dSfV3QYLxkqxK2u7KNDjyA_6_6"/>
      <w:bookmarkStart w:id="1868" w:name="Tc_bOpDqgfE80qyXW1KTTjHgQ_6_0"/>
      <w:bookmarkStart w:id="1869" w:name="Tc_utwRCWmbCU6EkS8JSunRHQ_5_14"/>
      <w:bookmarkStart w:id="1870" w:name="Tc_ezQFaTdGTU2I0xivLUG1MA_5_11"/>
      <w:bookmarkStart w:id="1871" w:name="Tc_UlWKnWs7Tky7in6CGbiWTg_5_8"/>
      <w:bookmarkStart w:id="1872" w:name="Tc_yavJ9ANIWEGzPtXmpe6NpA_5_5"/>
      <w:bookmarkStart w:id="1873" w:name="Tc_eH7-2fD2QU-WnIoD5dvr6A_5_2"/>
      <w:bookmarkStart w:id="1874" w:name="Tc_TaWBzR4TvEiMJb8T8M41KQ_5_0"/>
      <w:bookmarkStart w:id="1875" w:name="Tc_7-gieyqUw0aYp-vGvj8iTA_4_0"/>
      <w:bookmarkStart w:id="1876" w:name="Tc_n_ZOWTrYtUydSxfkR-OtuA_3_14"/>
      <w:bookmarkStart w:id="1877" w:name="Tc_DeAe5HfTK02PphCU4aduPw_3_11"/>
      <w:bookmarkStart w:id="1878" w:name="Tc_lZ07mRrSVUmY6yGHbRHFRg_3_8"/>
      <w:bookmarkStart w:id="1879" w:name="Tc_XckRwzjdYE2M9_KHfIo7jw_3_5"/>
      <w:bookmarkStart w:id="1880" w:name="Tc_r7OJHwydZUa8AyFm0mzu1w_3_2"/>
      <w:bookmarkStart w:id="1881" w:name="Tc_eiECqkqBBU-9SXYA0m1-Mg_2_14"/>
      <w:bookmarkStart w:id="1882" w:name="Tc_3vTS7veqv0CSBF89zaKIcw_2_11"/>
      <w:bookmarkStart w:id="1883" w:name="Tc_yiGbuQPF_UmLkYrBIXPfXA_2_8"/>
      <w:bookmarkStart w:id="1884" w:name="Tc_G6UtaWD1_U2DN1V14kpFew_2_5"/>
      <w:bookmarkStart w:id="1885" w:name="Tc_BbTQeFTOXUiRn4QYSC5XCQ_2_2"/>
      <w:bookmarkStart w:id="1886" w:name="Tc_i0-CB-UnAke3OHq3VB-hrA_1_2"/>
      <w:bookmarkStart w:id="1887" w:name="_2dd815e2_9a13_4ac0_be6f_a63866554557"/>
      <w:bookmarkStart w:id="1888" w:name="Tc_1asWLJrLwEOWGvIg2B5__Q_22_20"/>
      <w:bookmarkStart w:id="1889" w:name="Tc_6a3py9Gq-UKa_NJ9KQiE2w_22_18"/>
      <w:bookmarkStart w:id="1890" w:name="Tc_C34mbTPu7U2eygdFXMpIAw_22_15"/>
      <w:bookmarkStart w:id="1891" w:name="Tc_aquPJBkDZkyq0q6MZimD7g_22_12"/>
      <w:bookmarkStart w:id="1892" w:name="Tc_OjNRdNrY1USHL7dfUX5ICA_22_9"/>
      <w:bookmarkStart w:id="1893" w:name="Tc_WECRAtAPmUWy7Ya0avDXvA_22_6"/>
      <w:bookmarkStart w:id="1894" w:name="Tc_wTC5j61HZEq8lPI9_S10yA_22_3"/>
      <w:bookmarkStart w:id="1895" w:name="Tc_1SE2-uZvfE20JTSip2dZBw_22_0"/>
      <w:bookmarkStart w:id="1896" w:name="Tc_B6kzHsizJUC6Y2PLEiRvjw_21_18"/>
      <w:bookmarkStart w:id="1897" w:name="Tc_WKWmrrsyCUm8AURX3fOARg_21_15"/>
      <w:bookmarkStart w:id="1898" w:name="Tc_4q9UiuW3rU-IIcXV2aaTOA_21_12"/>
      <w:bookmarkStart w:id="1899" w:name="Tc_estRwMSidUy1x2N7JRHQLQ_21_9"/>
      <w:bookmarkStart w:id="1900" w:name="Tc_Iv-vFzsVBUiRCHUp2GohJQ_21_6"/>
      <w:bookmarkStart w:id="1901" w:name="Tc_2tRYbqmF30Kvp44QHd8OcQ_21_3"/>
      <w:bookmarkStart w:id="1902" w:name="Tc_yGJCxhrh70WUwe_uWRlEjA_21_0"/>
      <w:bookmarkStart w:id="1903" w:name="Tc_sSqFDFc8lkmsodt9xJWbNg_20_20"/>
      <w:bookmarkStart w:id="1904" w:name="Tc_3ecXpYI_FkW3bIGXZ3m8gA_20_18"/>
      <w:bookmarkStart w:id="1905" w:name="Tc_hljNVTFWhE-O1CKXytJYQw_20_15"/>
      <w:bookmarkStart w:id="1906" w:name="Tc_BhRkw04b1EGqijIjQ3sicw_20_12"/>
      <w:bookmarkStart w:id="1907" w:name="Tc_0-lEQVqF80atCKuxOyt5dQ_20_9"/>
      <w:bookmarkStart w:id="1908" w:name="Tc_GgZIdUrkl0-nRulYEsBe1g_20_6"/>
      <w:bookmarkStart w:id="1909" w:name="Tc_yTSiqoxUukeseEZ8RMhSCQ_20_3"/>
      <w:bookmarkStart w:id="1910" w:name="Tc_62Bs7IQLLkSR7YAf6gKhmQ_20_0"/>
      <w:bookmarkStart w:id="1911" w:name="Tc_imr4RvRBKEyreqog7jV0Eg_19_0"/>
      <w:bookmarkStart w:id="1912" w:name="Tc_B9ThTnti3kqhMZwtO0N4cw_17_17"/>
      <w:bookmarkStart w:id="1913" w:name="Tc_WkpxYKQchkWGesVRLIFMAA_17_15"/>
      <w:bookmarkStart w:id="1914" w:name="Tc_5wVMyV2XMUypkN_gkf6jQg_17_14"/>
      <w:bookmarkStart w:id="1915" w:name="Tc_2U_6-oa1bEyWYBCs48yBPA_17_11"/>
      <w:bookmarkStart w:id="1916" w:name="Tc_Ppn2m_p2Vku5EslfzfAUTQ_17_8"/>
      <w:bookmarkStart w:id="1917" w:name="Tc_OUqgwmVIOESOnu-S5d222g_17_5"/>
      <w:bookmarkStart w:id="1918" w:name="Tc_7lYknQH8BUCt2_RgmwPnJQ_17_2"/>
      <w:bookmarkStart w:id="1919" w:name="Tc_q81GAEH73kOOq65hxwURCg_17_0"/>
      <w:bookmarkStart w:id="1920" w:name="Tc_KTugvYxyzkWqQ1W4Wz-ZOQ_16_17"/>
      <w:bookmarkStart w:id="1921" w:name="Tc_Z4dsf6LFQ06i4eZJmuYQRw_16_15"/>
      <w:bookmarkStart w:id="1922" w:name="Tc_g7SPtnQGbkydp64AZW-9Bg_16_14"/>
      <w:bookmarkStart w:id="1923" w:name="Tc_MhVcR20vQkiohSZGHc9VhQ_16_11"/>
      <w:bookmarkStart w:id="1924" w:name="Tc_cxtzGe7tB02TbQ0ZrQmoxg_16_8"/>
      <w:bookmarkStart w:id="1925" w:name="Tc_TvOUMWZ_OEqAr7j2HVB2sg_16_5"/>
      <w:bookmarkStart w:id="1926" w:name="Tc_YmoLs1k5-U2qa9PFYVEIzg_16_2"/>
      <w:bookmarkStart w:id="1927" w:name="Tc_aQX4nfIi6EyKDnIMFqX-bA_16_0"/>
      <w:bookmarkStart w:id="1928" w:name="Tc_61jyy02n-EKnFIDfuouDTg_15_17"/>
      <w:bookmarkStart w:id="1929" w:name="Tc_JuJGX91H70GSjdWKJXGe_w_15_15"/>
      <w:bookmarkStart w:id="1930" w:name="Tc_ELzxn2hbikWQpc1tPXBA0A_15_14"/>
      <w:bookmarkStart w:id="1931" w:name="Tc_gchqFiBvS02pFZSe9w2DEg_15_11"/>
      <w:bookmarkStart w:id="1932" w:name="Tc_myEZfiOWDkOdtQc6Xkm5UQ_15_8"/>
      <w:bookmarkStart w:id="1933" w:name="Tc_3ROuAJtNkUONbwpWZcS1JA_15_5"/>
      <w:bookmarkStart w:id="1934" w:name="Tc_JX4Fk_L3rkOmeavYMgo0FQ_15_2"/>
      <w:bookmarkStart w:id="1935" w:name="Tc_6obZoeCAzUilsiE_6xHPMg_15_0"/>
      <w:bookmarkStart w:id="1936" w:name="Tc_Yfu0T0T4PkylODyv11JAdQ_13_20"/>
      <w:bookmarkStart w:id="1937" w:name="Tc_9rzF2DkGz0ynyiuMvv7-Cg_13_17"/>
      <w:bookmarkStart w:id="1938" w:name="Tc_Wr6OJ0D1QUWWcPdd7FgCCA_13_14"/>
      <w:bookmarkStart w:id="1939" w:name="Tc_X4YcRD0oe0ifoofeaTpt7g_13_11"/>
      <w:bookmarkStart w:id="1940" w:name="Tc_uNpv4Y3HJU6xcGgWhcnIqg_13_8"/>
      <w:bookmarkStart w:id="1941" w:name="Tc_lxJRVnpONE2SC_MeQaCY5g_13_5"/>
      <w:bookmarkStart w:id="1942" w:name="Tc_1XPKqqzQXkmIg3xQUBj0-w_13_2"/>
      <w:bookmarkStart w:id="1943" w:name="Tc_yd46Uzmx60elgkg1Ld5IpQ_13_0"/>
      <w:bookmarkStart w:id="1944" w:name="Tc_uX01L9tmskms9if9f_5B7A_12_18"/>
      <w:bookmarkStart w:id="1945" w:name="Tc_ycrwvWv4-EmkI4Rd32mCMQ_12_15"/>
      <w:bookmarkStart w:id="1946" w:name="Tc_4fz7pNkvN0uh1RidKn6B3g_12_0"/>
      <w:bookmarkStart w:id="1947" w:name="Tc_4_mdROSpWUCUJxLsmCjwyA_11_15"/>
      <w:bookmarkStart w:id="1948" w:name="Tc_EykrzRYTG0-hKSIsupaCMQ_11_0"/>
      <w:bookmarkStart w:id="1949" w:name="Tc_GzgmrkwYVECPUwK-w-Vulw_10_18"/>
      <w:bookmarkStart w:id="1950" w:name="Tc_UFesXZ2ulkGGfcinIwDV4Q_10_0"/>
      <w:bookmarkStart w:id="1951" w:name="Tc_GS_G7fXS5k-Bgf-s5tfZJQ_9_18"/>
      <w:bookmarkStart w:id="1952" w:name="Tc_orcvZ9d6lUmh4oMIw0qdVg_9_0"/>
      <w:bookmarkStart w:id="1953" w:name="Tc_PWelvJO1dUy3rs4EUbedWA_8_21"/>
      <w:bookmarkStart w:id="1954" w:name="Tc_Hf4KmsSxN0-Q_34_lAnWYA_8_18"/>
      <w:bookmarkStart w:id="1955" w:name="Tc_9xf_oaZG7k6yQMmeKQrLaw_8_9"/>
      <w:bookmarkStart w:id="1956" w:name="Tc_BUFsBe90NUykfS7OoJxADQ_8_3"/>
      <w:bookmarkStart w:id="1957" w:name="Tc_iuTLbYzXZ0uPm3huJzeMzg_8_0"/>
      <w:bookmarkStart w:id="1958" w:name="Tc_ZtIl5sBD90a9MaoIXYA5iw_7_20"/>
      <w:bookmarkStart w:id="1959" w:name="Tc_LBEiAhflj0K1i2bEq7ibXg_7_18"/>
      <w:bookmarkStart w:id="1960" w:name="Tc_BrlD5DWsoEWX7ZMcUDd7JA_7_17"/>
      <w:bookmarkStart w:id="1961" w:name="Tc_q-IxxtcAQUuT-jf_4pR5Yg_7_15"/>
      <w:bookmarkStart w:id="1962" w:name="Tc_iTCpfWfmmEeUf5PuT5KzsA_7_14"/>
      <w:bookmarkStart w:id="1963" w:name="Tc_nFhGzq3O4kij36rnyWeWwA_7_11"/>
      <w:bookmarkStart w:id="1964" w:name="Tc_yQpJAxKDdEq7jGbvZ-0sNQ_7_8"/>
      <w:bookmarkStart w:id="1965" w:name="Tc_EBAMAADlnEue8eY591cptg_7_5"/>
      <w:bookmarkStart w:id="1966" w:name="Tc_hlaucPjKbEC7mefqzSAhsg_7_2"/>
      <w:bookmarkStart w:id="1967" w:name="Tc_89RWR1VrcUORJ5r6Dep48Q_7_0"/>
      <w:bookmarkStart w:id="1968" w:name="Tc_fmTxhkKSOkaGBnoX80B5Uw_6_0"/>
      <w:bookmarkStart w:id="1969" w:name="Tc_1MyjMaXOd06d-2Nqnnh6FA_5_20"/>
      <w:bookmarkStart w:id="1970" w:name="Tc_eiIbY2SBGk6E6RwlrfgoXg_5_17"/>
      <w:bookmarkStart w:id="1971" w:name="Tc_y5bHULUEKEewYP7OEA8vug_5_14"/>
      <w:bookmarkStart w:id="1972" w:name="Tc_97826QXILkmOin1ueg0Irg_5_11"/>
      <w:bookmarkStart w:id="1973" w:name="Tc_Aw-2ZThmXkWG-DdTjw6mdA_5_8"/>
      <w:bookmarkStart w:id="1974" w:name="Tc_gxZjuB9JEk6KM81JN2zldA_5_5"/>
      <w:bookmarkStart w:id="1975" w:name="Tc_Jb6OW6pkbUWNasdpGfC5fA_5_2"/>
      <w:bookmarkStart w:id="1976" w:name="Tc_nLUxybgR2Um4eTzbxtUI_Q_4_17"/>
      <w:bookmarkStart w:id="1977" w:name="Tc_3SnRNffD30OOD_MT3PWD_A_4_14"/>
      <w:bookmarkStart w:id="1978" w:name="Tc_w5dY5cXdc0aASP-GYCecCg_4_11"/>
      <w:bookmarkStart w:id="1979" w:name="Tc_LtofPdIXSUeljRKVAlI7nA_4_8"/>
      <w:bookmarkStart w:id="1980" w:name="Tc_P8vYRJEMS0-hzdi7tBuy_g_4_5"/>
      <w:bookmarkStart w:id="1981" w:name="Tc_tY0cU9Qv6kqnp_5YeA6VBg_4_2"/>
      <w:bookmarkStart w:id="1982" w:name="Tc_vnFRFpL1iUGG1sXrdcBSKw_3_11"/>
      <w:bookmarkStart w:id="1983" w:name="Tc_S5VlqrY0XkKlWYzuTxN_ew_3_5"/>
      <w:bookmarkStart w:id="1984" w:name="Tc_swHxRF61W0egK_YBAwiNKA_2_5"/>
      <w:bookmarkStart w:id="1985" w:name="Tc_3klbFoQHJk-Z879nFIeu9w_1_2"/>
      <w:bookmarkStart w:id="1986" w:name="_d2509136_1671_4eae_90df_f4f5529d0d5f"/>
      <w:bookmarkStart w:id="1987" w:name="Tc_hUTHQD0AnEeqORzsyXWrjw_14_14"/>
      <w:bookmarkStart w:id="1988" w:name="Tc_dobEhfJL6U6R_hoCCP_9Cg_14_11"/>
      <w:bookmarkStart w:id="1989" w:name="Tc_f9uykKugHEigBdlPvobTnQ_14_8"/>
      <w:bookmarkStart w:id="1990" w:name="Tc_KAokHhqBUk6cAIuGIoY98g_14_6"/>
      <w:bookmarkStart w:id="1991" w:name="Tc__wddlz_owkyiCKCF89mQjw_14_5"/>
      <w:bookmarkStart w:id="1992" w:name="Tc_aiOuMLmEWkKKDTFpP92WIQ_14_2"/>
      <w:bookmarkStart w:id="1993" w:name="Tc_C_jpQDtSxEK27VLLIbHkEg_14_0"/>
      <w:bookmarkStart w:id="1994" w:name="Tc_GO1XAiB2nkCfKpOq242HTQ_13_15"/>
      <w:bookmarkStart w:id="1995" w:name="Tc_Wb9cIFYaC0-4AythduXWnA_13_12"/>
      <w:bookmarkStart w:id="1996" w:name="Tc_MOCabiEnJ0aA54Yj8334ww_13_3"/>
      <w:bookmarkStart w:id="1997" w:name="Tc_1WMt9OFK00eJRI-QFnKxmg_13_0"/>
      <w:bookmarkStart w:id="1998" w:name="Tc_VkVHlmW6D0u7C0HvoNKS5g_12_0"/>
      <w:bookmarkStart w:id="1999" w:name="Tc_2jJAwZhcUEWOwWBMnC7vkA_11_0"/>
      <w:bookmarkStart w:id="2000" w:name="Tc_uDbmruAiSk-qMe_5ViLqcw_10_6"/>
      <w:bookmarkStart w:id="2001" w:name="Tc_7dHHHMrQUkGyr9uHXqs7Kw_10_0"/>
      <w:bookmarkStart w:id="2002" w:name="Tc_RX6unVMVTUuUY4k9TQgoxA_9_0"/>
      <w:bookmarkStart w:id="2003" w:name="Tc_DObd78nZo0yNT0fUis0zMg_8_0"/>
      <w:bookmarkStart w:id="2004" w:name="Tc_k-X7n8emLk-DUFJdQ2yYYQ_7_6"/>
      <w:bookmarkStart w:id="2005" w:name="Tc_TnDHKa9wNUOaMafsM3V04g_7_0"/>
      <w:bookmarkStart w:id="2006" w:name="Tc_dSfV3QYLxkqxK2u7KNDjyA_6_6"/>
      <w:bookmarkStart w:id="2007" w:name="Tc_bOpDqgfE80qyXW1KTTjHgQ_6_0"/>
      <w:bookmarkStart w:id="2008" w:name="Tc_utwRCWmbCU6EkS8JSunRHQ_5_14"/>
      <w:bookmarkStart w:id="2009" w:name="Tc_ezQFaTdGTU2I0xivLUG1MA_5_11"/>
      <w:bookmarkStart w:id="2010" w:name="Tc_UlWKnWs7Tky7in6CGbiWTg_5_8"/>
      <w:bookmarkStart w:id="2011" w:name="Tc_yavJ9ANIWEGzPtXmpe6NpA_5_5"/>
      <w:bookmarkStart w:id="2012" w:name="Tc_eH7-2fD2QU-WnIoD5dvr6A_5_2"/>
      <w:bookmarkStart w:id="2013" w:name="Tc_TaWBzR4TvEiMJb8T8M41KQ_5_0"/>
      <w:bookmarkStart w:id="2014" w:name="Tc_7-gieyqUw0aYp-vGvj8iTA_4_0"/>
      <w:bookmarkStart w:id="2015" w:name="Tc_n_ZOWTrYtUydSxfkR-OtuA_3_14"/>
      <w:bookmarkStart w:id="2016" w:name="Tc_DeAe5HfTK02PphCU4aduPw_3_11"/>
      <w:bookmarkStart w:id="2017" w:name="Tc_lZ07mRrSVUmY6yGHbRHFRg_3_8"/>
      <w:bookmarkStart w:id="2018" w:name="Tc_XckRwzjdYE2M9_KHfIo7jw_3_5"/>
      <w:bookmarkStart w:id="2019" w:name="Tc_r7OJHwydZUa8AyFm0mzu1w_3_2"/>
      <w:bookmarkStart w:id="2020" w:name="Tc_eiECqkqBBU-9SXYA0m1-Mg_2_14"/>
      <w:bookmarkStart w:id="2021" w:name="Tc_3vTS7veqv0CSBF89zaKIcw_2_11"/>
      <w:bookmarkStart w:id="2022" w:name="Tc_yiGbuQPF_UmLkYrBIXPfXA_2_8"/>
      <w:bookmarkStart w:id="2023" w:name="Tc_G6UtaWD1_U2DN1V14kpFew_2_5"/>
      <w:bookmarkStart w:id="2024" w:name="Tc_BbTQeFTOXUiRn4QYSC5XCQ_2_2"/>
      <w:bookmarkStart w:id="2025" w:name="Tc_i0-CB-UnAke3OHq3VB-hrA_1_2"/>
      <w:bookmarkStart w:id="2026" w:name="_2dd815e2_9a13_4ac0_be6f_a63866554557"/>
      <w:bookmarkStart w:id="2027" w:name="Tc_1asWLJrLwEOWGvIg2B5__Q_22_20"/>
      <w:bookmarkStart w:id="2028" w:name="Tc_6a3py9Gq-UKa_NJ9KQiE2w_22_18"/>
      <w:bookmarkStart w:id="2029" w:name="Tc_C34mbTPu7U2eygdFXMpIAw_22_15"/>
      <w:bookmarkStart w:id="2030" w:name="Tc_aquPJBkDZkyq0q6MZimD7g_22_12"/>
      <w:bookmarkStart w:id="2031" w:name="Tc_OjNRdNrY1USHL7dfUX5ICA_22_9"/>
      <w:bookmarkStart w:id="2032" w:name="Tc_WECRAtAPmUWy7Ya0avDXvA_22_6"/>
      <w:bookmarkStart w:id="2033" w:name="Tc_wTC5j61HZEq8lPI9_S10yA_22_3"/>
      <w:bookmarkStart w:id="2034" w:name="Tc_1SE2-uZvfE20JTSip2dZBw_22_0"/>
      <w:bookmarkStart w:id="2035" w:name="Tc_B6kzHsizJUC6Y2PLEiRvjw_21_18"/>
      <w:bookmarkStart w:id="2036" w:name="Tc_WKWmrrsyCUm8AURX3fOARg_21_15"/>
      <w:bookmarkStart w:id="2037" w:name="Tc_4q9UiuW3rU-IIcXV2aaTOA_21_12"/>
      <w:bookmarkStart w:id="2038" w:name="Tc_estRwMSidUy1x2N7JRHQLQ_21_9"/>
      <w:bookmarkStart w:id="2039" w:name="Tc_Iv-vFzsVBUiRCHUp2GohJQ_21_6"/>
      <w:bookmarkStart w:id="2040" w:name="Tc_2tRYbqmF30Kvp44QHd8OcQ_21_3"/>
      <w:bookmarkStart w:id="2041" w:name="Tc_yGJCxhrh70WUwe_uWRlEjA_21_0"/>
      <w:bookmarkStart w:id="2042" w:name="Tc_sSqFDFc8lkmsodt9xJWbNg_20_20"/>
      <w:bookmarkStart w:id="2043" w:name="Tc_3ecXpYI_FkW3bIGXZ3m8gA_20_18"/>
      <w:bookmarkStart w:id="2044" w:name="Tc_hljNVTFWhE-O1CKXytJYQw_20_15"/>
      <w:bookmarkStart w:id="2045" w:name="Tc_BhRkw04b1EGqijIjQ3sicw_20_12"/>
      <w:bookmarkStart w:id="2046" w:name="Tc_0-lEQVqF80atCKuxOyt5dQ_20_9"/>
      <w:bookmarkStart w:id="2047" w:name="Tc_GgZIdUrkl0-nRulYEsBe1g_20_6"/>
      <w:bookmarkStart w:id="2048" w:name="Tc_yTSiqoxUukeseEZ8RMhSCQ_20_3"/>
      <w:bookmarkStart w:id="2049" w:name="Tc_62Bs7IQLLkSR7YAf6gKhmQ_20_0"/>
      <w:bookmarkStart w:id="2050" w:name="Tc_imr4RvRBKEyreqog7jV0Eg_19_0"/>
      <w:bookmarkStart w:id="2051" w:name="Tc_B9ThTnti3kqhMZwtO0N4cw_17_17"/>
      <w:bookmarkStart w:id="2052" w:name="Tc_WkpxYKQchkWGesVRLIFMAA_17_15"/>
      <w:bookmarkStart w:id="2053" w:name="Tc_5wVMyV2XMUypkN_gkf6jQg_17_14"/>
      <w:bookmarkStart w:id="2054" w:name="Tc_2U_6-oa1bEyWYBCs48yBPA_17_11"/>
      <w:bookmarkStart w:id="2055" w:name="Tc_Ppn2m_p2Vku5EslfzfAUTQ_17_8"/>
      <w:bookmarkStart w:id="2056" w:name="Tc_OUqgwmVIOESOnu-S5d222g_17_5"/>
      <w:bookmarkStart w:id="2057" w:name="Tc_7lYknQH8BUCt2_RgmwPnJQ_17_2"/>
      <w:bookmarkStart w:id="2058" w:name="Tc_q81GAEH73kOOq65hxwURCg_17_0"/>
      <w:bookmarkStart w:id="2059" w:name="Tc_KTugvYxyzkWqQ1W4Wz-ZOQ_16_17"/>
      <w:bookmarkStart w:id="2060" w:name="Tc_Z4dsf6LFQ06i4eZJmuYQRw_16_15"/>
      <w:bookmarkStart w:id="2061" w:name="Tc_g7SPtnQGbkydp64AZW-9Bg_16_14"/>
      <w:bookmarkStart w:id="2062" w:name="Tc_MhVcR20vQkiohSZGHc9VhQ_16_11"/>
      <w:bookmarkStart w:id="2063" w:name="Tc_cxtzGe7tB02TbQ0ZrQmoxg_16_8"/>
      <w:bookmarkStart w:id="2064" w:name="Tc_TvOUMWZ_OEqAr7j2HVB2sg_16_5"/>
      <w:bookmarkStart w:id="2065" w:name="Tc_YmoLs1k5-U2qa9PFYVEIzg_16_2"/>
      <w:bookmarkStart w:id="2066" w:name="Tc_aQX4nfIi6EyKDnIMFqX-bA_16_0"/>
      <w:bookmarkStart w:id="2067" w:name="Tc_61jyy02n-EKnFIDfuouDTg_15_17"/>
      <w:bookmarkStart w:id="2068" w:name="Tc_JuJGX91H70GSjdWKJXGe_w_15_15"/>
      <w:bookmarkStart w:id="2069" w:name="Tc_ELzxn2hbikWQpc1tPXBA0A_15_14"/>
      <w:bookmarkStart w:id="2070" w:name="Tc_gchqFiBvS02pFZSe9w2DEg_15_11"/>
      <w:bookmarkStart w:id="2071" w:name="Tc_myEZfiOWDkOdtQc6Xkm5UQ_15_8"/>
      <w:bookmarkStart w:id="2072" w:name="Tc_3ROuAJtNkUONbwpWZcS1JA_15_5"/>
      <w:bookmarkStart w:id="2073" w:name="Tc_JX4Fk_L3rkOmeavYMgo0FQ_15_2"/>
      <w:bookmarkStart w:id="2074" w:name="Tc_6obZoeCAzUilsiE_6xHPMg_15_0"/>
      <w:bookmarkStart w:id="2075" w:name="Tc_Yfu0T0T4PkylODyv11JAdQ_13_20"/>
      <w:bookmarkStart w:id="2076" w:name="Tc_9rzF2DkGz0ynyiuMvv7-Cg_13_17"/>
      <w:bookmarkStart w:id="2077" w:name="Tc_Wr6OJ0D1QUWWcPdd7FgCCA_13_14"/>
      <w:bookmarkStart w:id="2078" w:name="Tc_X4YcRD0oe0ifoofeaTpt7g_13_11"/>
      <w:bookmarkStart w:id="2079" w:name="Tc_uNpv4Y3HJU6xcGgWhcnIqg_13_8"/>
      <w:bookmarkStart w:id="2080" w:name="Tc_lxJRVnpONE2SC_MeQaCY5g_13_5"/>
      <w:bookmarkStart w:id="2081" w:name="Tc_1XPKqqzQXkmIg3xQUBj0-w_13_2"/>
      <w:bookmarkStart w:id="2082" w:name="Tc_yd46Uzmx60elgkg1Ld5IpQ_13_0"/>
      <w:bookmarkStart w:id="2083" w:name="Tc_uX01L9tmskms9if9f_5B7A_12_18"/>
      <w:bookmarkStart w:id="2084" w:name="Tc_ycrwvWv4-EmkI4Rd32mCMQ_12_15"/>
      <w:bookmarkStart w:id="2085" w:name="Tc_4fz7pNkvN0uh1RidKn6B3g_12_0"/>
      <w:bookmarkStart w:id="2086" w:name="Tc_4_mdROSpWUCUJxLsmCjwyA_11_15"/>
      <w:bookmarkStart w:id="2087" w:name="Tc_EykrzRYTG0-hKSIsupaCMQ_11_0"/>
      <w:bookmarkStart w:id="2088" w:name="Tc_GzgmrkwYVECPUwK-w-Vulw_10_18"/>
      <w:bookmarkStart w:id="2089" w:name="Tc_UFesXZ2ulkGGfcinIwDV4Q_10_0"/>
      <w:bookmarkStart w:id="2090" w:name="Tc_GS_G7fXS5k-Bgf-s5tfZJQ_9_18"/>
      <w:bookmarkStart w:id="2091" w:name="Tc_orcvZ9d6lUmh4oMIw0qdVg_9_0"/>
      <w:bookmarkStart w:id="2092" w:name="Tc_PWelvJO1dUy3rs4EUbedWA_8_21"/>
      <w:bookmarkStart w:id="2093" w:name="Tc_Hf4KmsSxN0-Q_34_lAnWYA_8_18"/>
      <w:bookmarkStart w:id="2094" w:name="Tc_9xf_oaZG7k6yQMmeKQrLaw_8_9"/>
      <w:bookmarkStart w:id="2095" w:name="Tc_BUFsBe90NUykfS7OoJxADQ_8_3"/>
      <w:bookmarkStart w:id="2096" w:name="Tc_iuTLbYzXZ0uPm3huJzeMzg_8_0"/>
      <w:bookmarkStart w:id="2097" w:name="Tc_ZtIl5sBD90a9MaoIXYA5iw_7_20"/>
      <w:bookmarkStart w:id="2098" w:name="Tc_LBEiAhflj0K1i2bEq7ibXg_7_18"/>
      <w:bookmarkStart w:id="2099" w:name="Tc_BrlD5DWsoEWX7ZMcUDd7JA_7_17"/>
      <w:bookmarkStart w:id="2100" w:name="Tc_q-IxxtcAQUuT-jf_4pR5Yg_7_15"/>
      <w:bookmarkStart w:id="2101" w:name="Tc_iTCpfWfmmEeUf5PuT5KzsA_7_14"/>
      <w:bookmarkStart w:id="2102" w:name="Tc_nFhGzq3O4kij36rnyWeWwA_7_11"/>
      <w:bookmarkStart w:id="2103" w:name="Tc_yQpJAxKDdEq7jGbvZ-0sNQ_7_8"/>
      <w:bookmarkStart w:id="2104" w:name="Tc_EBAMAADlnEue8eY591cptg_7_5"/>
      <w:bookmarkStart w:id="2105" w:name="Tc_hlaucPjKbEC7mefqzSAhsg_7_2"/>
      <w:bookmarkStart w:id="2106" w:name="Tc_89RWR1VrcUORJ5r6Dep48Q_7_0"/>
      <w:bookmarkStart w:id="2107" w:name="Tc_fmTxhkKSOkaGBnoX80B5Uw_6_0"/>
      <w:bookmarkStart w:id="2108" w:name="Tc_1MyjMaXOd06d-2Nqnnh6FA_5_20"/>
      <w:bookmarkStart w:id="2109" w:name="Tc_eiIbY2SBGk6E6RwlrfgoXg_5_17"/>
      <w:bookmarkStart w:id="2110" w:name="Tc_y5bHULUEKEewYP7OEA8vug_5_14"/>
      <w:bookmarkStart w:id="2111" w:name="Tc_97826QXILkmOin1ueg0Irg_5_11"/>
      <w:bookmarkStart w:id="2112" w:name="Tc_Aw-2ZThmXkWG-DdTjw6mdA_5_8"/>
      <w:bookmarkStart w:id="2113" w:name="Tc_gxZjuB9JEk6KM81JN2zldA_5_5"/>
      <w:bookmarkStart w:id="2114" w:name="Tc_Jb6OW6pkbUWNasdpGfC5fA_5_2"/>
      <w:bookmarkStart w:id="2115" w:name="Tc_nLUxybgR2Um4eTzbxtUI_Q_4_17"/>
      <w:bookmarkStart w:id="2116" w:name="Tc_3SnRNffD30OOD_MT3PWD_A_4_14"/>
      <w:bookmarkStart w:id="2117" w:name="Tc_w5dY5cXdc0aASP-GYCecCg_4_11"/>
      <w:bookmarkStart w:id="2118" w:name="Tc_LtofPdIXSUeljRKVAlI7nA_4_8"/>
      <w:bookmarkStart w:id="2119" w:name="Tc_P8vYRJEMS0-hzdi7tBuy_g_4_5"/>
      <w:bookmarkStart w:id="2120" w:name="Tc_tY0cU9Qv6kqnp_5YeA6VBg_4_2"/>
      <w:bookmarkStart w:id="2121" w:name="Tc_vnFRFpL1iUGG1sXrdcBSKw_3_11"/>
      <w:bookmarkStart w:id="2122" w:name="Tc_S5VlqrY0XkKlWYzuTxN_ew_3_5"/>
      <w:bookmarkStart w:id="2123" w:name="Tc_swHxRF61W0egK_YBAwiNKA_2_5"/>
      <w:bookmarkStart w:id="2124" w:name="Tc_3klbFoQHJk-Z879nFIeu9w_1_2"/>
      <w:bookmarkStart w:id="2125" w:name="_d2509136_1671_4eae_90df_f4f5529d0d5f"/>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p>
    <w:tbl>
      <w:tblPr>
        <w:tblW w:w="11510" w:type="dxa"/>
        <w:jc w:val="left"/>
        <w:tblInd w:w="0" w:type="dxa"/>
        <w:tblLayout w:type="fixed"/>
        <w:tblCellMar>
          <w:top w:w="0" w:type="dxa"/>
          <w:left w:w="0" w:type="dxa"/>
          <w:bottom w:w="0" w:type="dxa"/>
          <w:right w:w="0" w:type="dxa"/>
        </w:tblCellMar>
      </w:tblPr>
      <w:tblGrid>
        <w:gridCol w:w="1336"/>
        <w:gridCol w:w="346"/>
        <w:gridCol w:w="211"/>
        <w:gridCol w:w="931"/>
        <w:gridCol w:w="346"/>
        <w:gridCol w:w="265"/>
        <w:gridCol w:w="981"/>
        <w:gridCol w:w="346"/>
        <w:gridCol w:w="211"/>
        <w:gridCol w:w="781"/>
        <w:gridCol w:w="346"/>
        <w:gridCol w:w="211"/>
        <w:gridCol w:w="931"/>
        <w:gridCol w:w="346"/>
        <w:gridCol w:w="234"/>
        <w:gridCol w:w="817"/>
        <w:gridCol w:w="346"/>
        <w:gridCol w:w="211"/>
        <w:gridCol w:w="781"/>
        <w:gridCol w:w="346"/>
        <w:gridCol w:w="211"/>
        <w:gridCol w:w="97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848360" cy="175260"/>
                      <wp:effectExtent l="0" t="0" r="0" b="0"/>
                      <wp:wrapNone/>
                      <wp:docPr id="619" name="Frame617"/>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19710" cy="175260"/>
                      <wp:effectExtent l="0" t="0" r="0" b="0"/>
                      <wp:wrapNone/>
                      <wp:docPr id="620"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33985" cy="175260"/>
                      <wp:effectExtent l="0" t="0" r="0" b="0"/>
                      <wp:wrapNone/>
                      <wp:docPr id="621" name="Frame6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91185" cy="175260"/>
                      <wp:effectExtent l="0" t="0" r="0" b="0"/>
                      <wp:wrapNone/>
                      <wp:docPr id="622" name="Frame6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19710" cy="175260"/>
                      <wp:effectExtent l="0" t="0" r="0" b="0"/>
                      <wp:wrapNone/>
                      <wp:docPr id="623" name="Frame6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68275" cy="175260"/>
                      <wp:effectExtent l="0" t="0" r="0" b="0"/>
                      <wp:wrapNone/>
                      <wp:docPr id="624" name="Frame62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22935" cy="175260"/>
                      <wp:effectExtent l="0" t="0" r="0" b="0"/>
                      <wp:wrapNone/>
                      <wp:docPr id="625" name="Frame623"/>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26"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33985" cy="175260"/>
                      <wp:effectExtent l="0" t="0" r="0" b="0"/>
                      <wp:wrapNone/>
                      <wp:docPr id="627"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95935" cy="175260"/>
                      <wp:effectExtent l="0" t="0" r="0" b="0"/>
                      <wp:wrapNone/>
                      <wp:docPr id="628" name="Frame6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19710" cy="175260"/>
                      <wp:effectExtent l="0" t="0" r="0" b="0"/>
                      <wp:wrapNone/>
                      <wp:docPr id="629" name="Frame6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33985" cy="175260"/>
                      <wp:effectExtent l="0" t="0" r="0" b="0"/>
                      <wp:wrapNone/>
                      <wp:docPr id="630" name="Frame6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591185" cy="175260"/>
                      <wp:effectExtent l="0" t="0" r="0" b="0"/>
                      <wp:wrapNone/>
                      <wp:docPr id="631" name="Frame6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19710" cy="175260"/>
                      <wp:effectExtent l="0" t="0" r="0" b="0"/>
                      <wp:wrapNone/>
                      <wp:docPr id="632" name="Frame6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48590" cy="175260"/>
                      <wp:effectExtent l="0" t="0" r="0" b="0"/>
                      <wp:wrapNone/>
                      <wp:docPr id="633" name="Frame63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518795" cy="175260"/>
                      <wp:effectExtent l="0" t="0" r="0" b="0"/>
                      <wp:wrapNone/>
                      <wp:docPr id="634" name="Frame632"/>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35" name="Frame6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33985" cy="175260"/>
                      <wp:effectExtent l="0" t="0" r="0" b="0"/>
                      <wp:wrapNone/>
                      <wp:docPr id="636" name="Frame6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495935" cy="175260"/>
                      <wp:effectExtent l="0" t="0" r="0" b="0"/>
                      <wp:wrapNone/>
                      <wp:docPr id="637" name="Frame6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19710" cy="175260"/>
                      <wp:effectExtent l="0" t="0" r="0" b="0"/>
                      <wp:wrapNone/>
                      <wp:docPr id="638" name="Frame6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33985" cy="175260"/>
                      <wp:effectExtent l="0" t="0" r="0" b="0"/>
                      <wp:wrapNone/>
                      <wp:docPr id="639" name="Frame6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19760" cy="175260"/>
                      <wp:effectExtent l="0" t="0" r="0" b="0"/>
                      <wp:wrapNone/>
                      <wp:docPr id="640" name="Frame63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828"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Optoelectronics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Security</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Manufacturing</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Healthcare</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Division</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  ​ ​ ​</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 customer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1,247,949</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375,306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1,785,984</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1,785,984</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Intersegment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75,511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1,247,949</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450,817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1,861,495</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1,785,984</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834,806</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1,267,273</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1,192,892</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149,653</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242,109</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278,390</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55,021</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79,141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79,141</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income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208,469</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272,972</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235,561</w:t>
            </w:r>
          </w:p>
        </w:tc>
      </w:tr>
      <w:tr>
        <w:trPr/>
        <w:tc>
          <w:tcPr>
            <w:tcW w:w="1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1,581,183</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2,178,111</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324,341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2,502,452</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18,202</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30,570</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28,472</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40,720</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42,650</w:t>
            </w:r>
          </w:p>
        </w:tc>
      </w:tr>
      <w:tr>
        <w:trPr/>
        <w:tc>
          <w:tcPr>
            <w:tcW w:w="1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consolidated income from operations – Fiscal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segment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235,561</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restructuring and other charges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(16,591)</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218,970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present the revenues and identifiable assets by geographical area (in thousands):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902"/>
        <w:gridCol w:w="346"/>
        <w:gridCol w:w="211"/>
        <w:gridCol w:w="931"/>
        <w:gridCol w:w="346"/>
        <w:gridCol w:w="234"/>
        <w:gridCol w:w="817"/>
        <w:gridCol w:w="346"/>
        <w:gridCol w:w="211"/>
        <w:gridCol w:w="931"/>
        <w:gridCol w:w="346"/>
        <w:gridCol w:w="242"/>
        <w:gridCol w:w="899"/>
        <w:gridCol w:w="346"/>
        <w:gridCol w:w="211"/>
        <w:gridCol w:w="886"/>
      </w:tblGrid>
      <w:tr>
        <w:trPr/>
        <w:tc>
          <w:tcPr>
            <w:tcW w:w="2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842770" cy="175260"/>
                      <wp:effectExtent l="0" t="0" r="0" b="0"/>
                      <wp:wrapNone/>
                      <wp:docPr id="641" name="Frame639"/>
                      <a:graphic xmlns:a="http://schemas.openxmlformats.org/drawingml/2006/main">
                        <a:graphicData uri="http://schemas.microsoft.com/office/word/2010/wordprocessingShape">
                          <wps:wsp>
                            <wps:cNvSpPr txBox="1"/>
                            <wps:spPr>
                              <a:xfrm>
                                <a:off x="0" y="0"/>
                                <a:ext cx="184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19710" cy="175260"/>
                      <wp:effectExtent l="0" t="0" r="0" b="0"/>
                      <wp:wrapNone/>
                      <wp:docPr id="642" name="Frame6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3985" cy="175260"/>
                      <wp:effectExtent l="0" t="0" r="0" b="0"/>
                      <wp:wrapNone/>
                      <wp:docPr id="643" name="Frame6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591185" cy="175260"/>
                      <wp:effectExtent l="0" t="0" r="0" b="0"/>
                      <wp:wrapNone/>
                      <wp:docPr id="644" name="Frame6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19710" cy="175260"/>
                      <wp:effectExtent l="0" t="0" r="0" b="0"/>
                      <wp:wrapNone/>
                      <wp:docPr id="645" name="Frame6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48590" cy="175260"/>
                      <wp:effectExtent l="0" t="0" r="0" b="0"/>
                      <wp:wrapNone/>
                      <wp:docPr id="646" name="Frame64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518795" cy="175260"/>
                      <wp:effectExtent l="0" t="0" r="0" b="0"/>
                      <wp:wrapNone/>
                      <wp:docPr id="647" name="Frame645"/>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19710" cy="175260"/>
                      <wp:effectExtent l="0" t="0" r="0" b="0"/>
                      <wp:wrapNone/>
                      <wp:docPr id="648" name="Frame6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33985" cy="175260"/>
                      <wp:effectExtent l="0" t="0" r="0" b="0"/>
                      <wp:wrapNone/>
                      <wp:docPr id="649" name="Frame6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591185" cy="175260"/>
                      <wp:effectExtent l="0" t="0" r="0" b="0"/>
                      <wp:wrapNone/>
                      <wp:docPr id="650" name="Frame6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19710" cy="175260"/>
                      <wp:effectExtent l="0" t="0" r="0" b="0"/>
                      <wp:wrapNone/>
                      <wp:docPr id="651" name="Frame6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53670" cy="175260"/>
                      <wp:effectExtent l="0" t="0" r="0" b="0"/>
                      <wp:wrapNone/>
                      <wp:docPr id="652" name="Frame65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570865" cy="175260"/>
                      <wp:effectExtent l="0" t="0" r="0" b="0"/>
                      <wp:wrapNone/>
                      <wp:docPr id="653" name="Frame65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19710" cy="175260"/>
                      <wp:effectExtent l="0" t="0" r="0" b="0"/>
                      <wp:wrapNone/>
                      <wp:docPr id="654" name="Frame6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5" name="Frame6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562610" cy="175260"/>
                      <wp:effectExtent l="0" t="0" r="0" b="0"/>
                      <wp:wrapNone/>
                      <wp:docPr id="656" name="Frame6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5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External</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tangible assets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Geographic region: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  ​ ​ ​</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527,120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550,436</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535,225</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423,185</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423,185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Americas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61,583</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61,583</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22,465</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Americas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1,011,888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1,035,204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562,097</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234,858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245,941</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82,690</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Europe, Middle East and Africa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49,972</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49,972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11,381</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EMEA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284,830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295,913</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94,071</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Asia-Pacific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242,040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267,659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20,721</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(60,018)</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1,538,758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1,538,758</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676,889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1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OSI SYSTEMS, INC.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STATEMENTS—(Continued)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THREE YEARS ENDED JUNE 30, 2026</w:t>
      </w:r>
    </w:p>
    <w:p>
      <w:pPr>
        <w:pStyle w:val="Normal"/>
        <w:bidi w:val="0"/>
        <w:spacing w:before="0" w:after="0"/>
        <w:jc w:val="left"/>
        <w:rPr>
          <w:sz w:val="4"/>
          <w:szCs w:val="4"/>
        </w:rPr>
      </w:pPr>
      <w:r>
        <w:rPr>
          <w:sz w:val="4"/>
          <w:szCs w:val="4"/>
        </w:rPr>
      </w:r>
      <w:bookmarkStart w:id="2126" w:name="Tc_6gN8sgjM1kWXtqZdsQwMFA_14_14"/>
      <w:bookmarkStart w:id="2127" w:name="Tc_AajoCO61jkmCO7NH69Z66Q_14_11"/>
      <w:bookmarkStart w:id="2128" w:name="Tc_rMv52_B5gEugcDIX9h80cA_14_8"/>
      <w:bookmarkStart w:id="2129" w:name="Tc_PtolOksd9EiUidAU6dTMGA_14_6"/>
      <w:bookmarkStart w:id="2130" w:name="Tc_ycES537Iz0CdsTW8Ee0k1A_14_5"/>
      <w:bookmarkStart w:id="2131" w:name="Tc_HCHKHb7GI0SG2o0DNu4UNw_14_2"/>
      <w:bookmarkStart w:id="2132" w:name="Tc_lbiqC_D0qUOojpvTSeO5qw_14_0"/>
      <w:bookmarkStart w:id="2133" w:name="Tc_rkBTxYnam0Ci2ycwVo_5jQ_13_15"/>
      <w:bookmarkStart w:id="2134" w:name="Tc_Et0NP7qvzkO9bt_ocD79Zg_13_12"/>
      <w:bookmarkStart w:id="2135" w:name="Tc_s6RP2SKpukiZGQGdVzCuUA_13_3"/>
      <w:bookmarkStart w:id="2136" w:name="Tc_mQg5DkKki02J_HHqJftesA_13_0"/>
      <w:bookmarkStart w:id="2137" w:name="Tc_vxy3BTOxR0Gm-v-R-kuVEA_12_0"/>
      <w:bookmarkStart w:id="2138" w:name="Tc_Wwf94pI6VUOTaCqIYZSj4g_11_0"/>
      <w:bookmarkStart w:id="2139" w:name="Tc_zc-EgGehIUuF3fccc6a__g_10_6"/>
      <w:bookmarkStart w:id="2140" w:name="Tc_6aGV0R2KzkKbj2I-7ujtMQ_10_0"/>
      <w:bookmarkStart w:id="2141" w:name="Tc_W1stxFgcwEq56j6SzxjAGw_9_0"/>
      <w:bookmarkStart w:id="2142" w:name="Tc_ezkKnZNjykKjfyRDV_GMuQ_8_0"/>
      <w:bookmarkStart w:id="2143" w:name="Tc_c3kSe3DB3EaY5XkZMSkvAQ_7_0"/>
      <w:bookmarkStart w:id="2144" w:name="Tc_KXEjHrYgjk-qR5n-VGSfHg_6_6"/>
      <w:bookmarkStart w:id="2145" w:name="Tc_f-f4Yiv5-Um29oU33UjQ_Q_6_0"/>
      <w:bookmarkStart w:id="2146" w:name="Tc_nJgbLyqTs06lqjDowVLTIw_5_14"/>
      <w:bookmarkStart w:id="2147" w:name="Tc_DCxNRQyKAkeSQwFgGytBCw_5_11"/>
      <w:bookmarkStart w:id="2148" w:name="Tc_nCtYgVXFtUu2M1w3LeWdPA_5_8"/>
      <w:bookmarkStart w:id="2149" w:name="Tc_rf5XNaxL80idh3KWaQ7S-A_5_5"/>
      <w:bookmarkStart w:id="2150" w:name="Tc_aERmA306wEG0TdP6Hyui4w_5_2"/>
      <w:bookmarkStart w:id="2151" w:name="Tc_N0Pge-T44Ee_a7e-9l40Dg_5_0"/>
      <w:bookmarkStart w:id="2152" w:name="Tc_Xu-W50_t902SXJjxa2CMcg_4_0"/>
      <w:bookmarkStart w:id="2153" w:name="Tc_SSZ8SaHw5E2BkNtNw1PjAA_3_14"/>
      <w:bookmarkStart w:id="2154" w:name="Tc_g--6HEDwyEyRVRzLTmJ8mg_3_11"/>
      <w:bookmarkStart w:id="2155" w:name="Tc_Y3qU8geuSE6K4ZaFcW3GgA_3_8"/>
      <w:bookmarkStart w:id="2156" w:name="Tc_5lt3gczv-k2i_lifwV0hfw_3_5"/>
      <w:bookmarkStart w:id="2157" w:name="Tc_iDDU0zo-dEeob06EHXqRfA_3_2"/>
      <w:bookmarkStart w:id="2158" w:name="Tc_K4mSD9IO6E-Nt6byv39QTg_2_14"/>
      <w:bookmarkStart w:id="2159" w:name="Tc_04QWjKINrUOKFFuSrwtloA_2_11"/>
      <w:bookmarkStart w:id="2160" w:name="Tc_-LTkyCBfIU29-b1JGj_DSg_2_8"/>
      <w:bookmarkStart w:id="2161" w:name="Tc_I8Zhj5aIbEKVzTl0EoN-Cg_2_5"/>
      <w:bookmarkStart w:id="2162" w:name="Tc_DRr-9Pt9MUyeDueV5rEAog_2_2"/>
      <w:bookmarkStart w:id="2163" w:name="Tc_OXNSJi3ZkU6zycYMgJic5g_1_2"/>
      <w:bookmarkStart w:id="2164" w:name="_9f19f0cc_579e_4dcd_8235_6ed129b08bbe"/>
      <w:bookmarkStart w:id="2165" w:name="Tc_rjaA70YEZEih4RTFUCCGWg_14_14"/>
      <w:bookmarkStart w:id="2166" w:name="Tc__XZ7iCrzwkqMFxeixCFxAA_14_11"/>
      <w:bookmarkStart w:id="2167" w:name="Tc_Gfmq8qf2kES083Z2Hbxf5Q_14_8"/>
      <w:bookmarkStart w:id="2168" w:name="Tc_eiedVKwj4EqvJXerAjitLw_14_6"/>
      <w:bookmarkStart w:id="2169" w:name="Tc_SG_CxmOyREKBByu5GedRpg_14_5"/>
      <w:bookmarkStart w:id="2170" w:name="Tc_o21OdENduUSW0VLUxTE_bQ_14_2"/>
      <w:bookmarkStart w:id="2171" w:name="Tc_Qc77ZccJokuM9Fc1_W36xQ_14_0"/>
      <w:bookmarkStart w:id="2172" w:name="Tc_HG4jJufg20mgYAXJkFskZQ_13_15"/>
      <w:bookmarkStart w:id="2173" w:name="Tc_M1lrBQic7UqtD9RquIEPDA_13_12"/>
      <w:bookmarkStart w:id="2174" w:name="Tc_sDqzYOesNU2FfMBiLIsj2w_13_3"/>
      <w:bookmarkStart w:id="2175" w:name="Tc_4twqn4yKEUizLAHR7c8u7A_13_0"/>
      <w:bookmarkStart w:id="2176" w:name="Tc_Egf1MFTbzkutyd9xfWUMwA_12_0"/>
      <w:bookmarkStart w:id="2177" w:name="Tc_rckcDnGu5UeY81Tzptu55g_11_0"/>
      <w:bookmarkStart w:id="2178" w:name="Tc_3CVBvimG4Ea_1KZ1yYjs2A_10_6"/>
      <w:bookmarkStart w:id="2179" w:name="Tc_QSNf8nNB7UKDxC9a7udBtA_10_0"/>
      <w:bookmarkStart w:id="2180" w:name="Tc_jeMbAnA0HUKqPyS2_M6WUA_9_0"/>
      <w:bookmarkStart w:id="2181" w:name="Tc_n3tFc3fAy06z_sFrVhslTQ_8_0"/>
      <w:bookmarkStart w:id="2182" w:name="Tc_QnZOeaqS8ESc0bYlVn-TZg_7_0"/>
      <w:bookmarkStart w:id="2183" w:name="Tc_jRs9IGNzjEWavmR2OL88qw_6_6"/>
      <w:bookmarkStart w:id="2184" w:name="Tc_kWZYKplcbk-dtFNZu4OZ-A_6_0"/>
      <w:bookmarkStart w:id="2185" w:name="Tc_VFiok9C_8EyD38pvwocl2Q_5_14"/>
      <w:bookmarkStart w:id="2186" w:name="Tc_L7Xhw4MbtUCoRywvzc3KIw_5_11"/>
      <w:bookmarkStart w:id="2187" w:name="Tc_rOkhraThkEKTWuAD5fc1fw_5_8"/>
      <w:bookmarkStart w:id="2188" w:name="Tc_veXeRtRXSE6XkoqfIY2f-w_5_5"/>
      <w:bookmarkStart w:id="2189" w:name="Tc_78WUbXmfJUGGKk0jjXg23g_5_2"/>
      <w:bookmarkStart w:id="2190" w:name="Tc__UlzUFz0e0iDNCQu4yYRUw_5_0"/>
      <w:bookmarkStart w:id="2191" w:name="Tc_BhibwR6Gmk2O9iUC-GRIyw_4_0"/>
      <w:bookmarkStart w:id="2192" w:name="Tc_hgV-BI3cOkS3y9UL_dNi1A_3_14"/>
      <w:bookmarkStart w:id="2193" w:name="Tc_XFFcsBajw02jTTZoHZThFg_3_11"/>
      <w:bookmarkStart w:id="2194" w:name="Tc_z_W534ePCE2CcbrcBZREIg_3_8"/>
      <w:bookmarkStart w:id="2195" w:name="Tc_h92gzHq5zU6shNsFo6nwIQ_3_5"/>
      <w:bookmarkStart w:id="2196" w:name="Tc_IyMj6yUSxki20Pu8MfcK3Q_3_2"/>
      <w:bookmarkStart w:id="2197" w:name="Tc_aXLUTGuGuk20_UdgRzpEfQ_2_14"/>
      <w:bookmarkStart w:id="2198" w:name="Tc_PYMfPWmC5E64BHYOG9Ruag_2_11"/>
      <w:bookmarkStart w:id="2199" w:name="Tc_nSAhGd0SekqQNajA1ZzS2w_2_8"/>
      <w:bookmarkStart w:id="2200" w:name="Tc_-gMZLpxk7U-SbLbYGBcaCg_2_5"/>
      <w:bookmarkStart w:id="2201" w:name="Tc_oj8JCTpWoEKel15YAfdkYA_2_2"/>
      <w:bookmarkStart w:id="2202" w:name="Tc_qKEe8_HeoEOO7T9cpANwKA_1_2"/>
      <w:bookmarkStart w:id="2203" w:name="_0f962405_163f_4089_b1ed_8d59cf4f8b3e"/>
      <w:bookmarkStart w:id="2204" w:name="Tc_6gN8sgjM1kWXtqZdsQwMFA_14_14"/>
      <w:bookmarkStart w:id="2205" w:name="Tc_AajoCO61jkmCO7NH69Z66Q_14_11"/>
      <w:bookmarkStart w:id="2206" w:name="Tc_rMv52_B5gEugcDIX9h80cA_14_8"/>
      <w:bookmarkStart w:id="2207" w:name="Tc_PtolOksd9EiUidAU6dTMGA_14_6"/>
      <w:bookmarkStart w:id="2208" w:name="Tc_ycES537Iz0CdsTW8Ee0k1A_14_5"/>
      <w:bookmarkStart w:id="2209" w:name="Tc_HCHKHb7GI0SG2o0DNu4UNw_14_2"/>
      <w:bookmarkStart w:id="2210" w:name="Tc_lbiqC_D0qUOojpvTSeO5qw_14_0"/>
      <w:bookmarkStart w:id="2211" w:name="Tc_rkBTxYnam0Ci2ycwVo_5jQ_13_15"/>
      <w:bookmarkStart w:id="2212" w:name="Tc_Et0NP7qvzkO9bt_ocD79Zg_13_12"/>
      <w:bookmarkStart w:id="2213" w:name="Tc_s6RP2SKpukiZGQGdVzCuUA_13_3"/>
      <w:bookmarkStart w:id="2214" w:name="Tc_mQg5DkKki02J_HHqJftesA_13_0"/>
      <w:bookmarkStart w:id="2215" w:name="Tc_vxy3BTOxR0Gm-v-R-kuVEA_12_0"/>
      <w:bookmarkStart w:id="2216" w:name="Tc_Wwf94pI6VUOTaCqIYZSj4g_11_0"/>
      <w:bookmarkStart w:id="2217" w:name="Tc_zc-EgGehIUuF3fccc6a__g_10_6"/>
      <w:bookmarkStart w:id="2218" w:name="Tc_6aGV0R2KzkKbj2I-7ujtMQ_10_0"/>
      <w:bookmarkStart w:id="2219" w:name="Tc_W1stxFgcwEq56j6SzxjAGw_9_0"/>
      <w:bookmarkStart w:id="2220" w:name="Tc_ezkKnZNjykKjfyRDV_GMuQ_8_0"/>
      <w:bookmarkStart w:id="2221" w:name="Tc_c3kSe3DB3EaY5XkZMSkvAQ_7_0"/>
      <w:bookmarkStart w:id="2222" w:name="Tc_KXEjHrYgjk-qR5n-VGSfHg_6_6"/>
      <w:bookmarkStart w:id="2223" w:name="Tc_f-f4Yiv5-Um29oU33UjQ_Q_6_0"/>
      <w:bookmarkStart w:id="2224" w:name="Tc_nJgbLyqTs06lqjDowVLTIw_5_14"/>
      <w:bookmarkStart w:id="2225" w:name="Tc_DCxNRQyKAkeSQwFgGytBCw_5_11"/>
      <w:bookmarkStart w:id="2226" w:name="Tc_nCtYgVXFtUu2M1w3LeWdPA_5_8"/>
      <w:bookmarkStart w:id="2227" w:name="Tc_rf5XNaxL80idh3KWaQ7S-A_5_5"/>
      <w:bookmarkStart w:id="2228" w:name="Tc_aERmA306wEG0TdP6Hyui4w_5_2"/>
      <w:bookmarkStart w:id="2229" w:name="Tc_N0Pge-T44Ee_a7e-9l40Dg_5_0"/>
      <w:bookmarkStart w:id="2230" w:name="Tc_Xu-W50_t902SXJjxa2CMcg_4_0"/>
      <w:bookmarkStart w:id="2231" w:name="Tc_SSZ8SaHw5E2BkNtNw1PjAA_3_14"/>
      <w:bookmarkStart w:id="2232" w:name="Tc_g--6HEDwyEyRVRzLTmJ8mg_3_11"/>
      <w:bookmarkStart w:id="2233" w:name="Tc_Y3qU8geuSE6K4ZaFcW3GgA_3_8"/>
      <w:bookmarkStart w:id="2234" w:name="Tc_5lt3gczv-k2i_lifwV0hfw_3_5"/>
      <w:bookmarkStart w:id="2235" w:name="Tc_iDDU0zo-dEeob06EHXqRfA_3_2"/>
      <w:bookmarkStart w:id="2236" w:name="Tc_K4mSD9IO6E-Nt6byv39QTg_2_14"/>
      <w:bookmarkStart w:id="2237" w:name="Tc_04QWjKINrUOKFFuSrwtloA_2_11"/>
      <w:bookmarkStart w:id="2238" w:name="Tc_-LTkyCBfIU29-b1JGj_DSg_2_8"/>
      <w:bookmarkStart w:id="2239" w:name="Tc_I8Zhj5aIbEKVzTl0EoN-Cg_2_5"/>
      <w:bookmarkStart w:id="2240" w:name="Tc_DRr-9Pt9MUyeDueV5rEAog_2_2"/>
      <w:bookmarkStart w:id="2241" w:name="Tc_OXNSJi3ZkU6zycYMgJic5g_1_2"/>
      <w:bookmarkStart w:id="2242" w:name="_9f19f0cc_579e_4dcd_8235_6ed129b08bbe"/>
      <w:bookmarkStart w:id="2243" w:name="Tc_rjaA70YEZEih4RTFUCCGWg_14_14"/>
      <w:bookmarkStart w:id="2244" w:name="Tc__XZ7iCrzwkqMFxeixCFxAA_14_11"/>
      <w:bookmarkStart w:id="2245" w:name="Tc_Gfmq8qf2kES083Z2Hbxf5Q_14_8"/>
      <w:bookmarkStart w:id="2246" w:name="Tc_eiedVKwj4EqvJXerAjitLw_14_6"/>
      <w:bookmarkStart w:id="2247" w:name="Tc_SG_CxmOyREKBByu5GedRpg_14_5"/>
      <w:bookmarkStart w:id="2248" w:name="Tc_o21OdENduUSW0VLUxTE_bQ_14_2"/>
      <w:bookmarkStart w:id="2249" w:name="Tc_Qc77ZccJokuM9Fc1_W36xQ_14_0"/>
      <w:bookmarkStart w:id="2250" w:name="Tc_HG4jJufg20mgYAXJkFskZQ_13_15"/>
      <w:bookmarkStart w:id="2251" w:name="Tc_M1lrBQic7UqtD9RquIEPDA_13_12"/>
      <w:bookmarkStart w:id="2252" w:name="Tc_sDqzYOesNU2FfMBiLIsj2w_13_3"/>
      <w:bookmarkStart w:id="2253" w:name="Tc_4twqn4yKEUizLAHR7c8u7A_13_0"/>
      <w:bookmarkStart w:id="2254" w:name="Tc_Egf1MFTbzkutyd9xfWUMwA_12_0"/>
      <w:bookmarkStart w:id="2255" w:name="Tc_rckcDnGu5UeY81Tzptu55g_11_0"/>
      <w:bookmarkStart w:id="2256" w:name="Tc_3CVBvimG4Ea_1KZ1yYjs2A_10_6"/>
      <w:bookmarkStart w:id="2257" w:name="Tc_QSNf8nNB7UKDxC9a7udBtA_10_0"/>
      <w:bookmarkStart w:id="2258" w:name="Tc_jeMbAnA0HUKqPyS2_M6WUA_9_0"/>
      <w:bookmarkStart w:id="2259" w:name="Tc_n3tFc3fAy06z_sFrVhslTQ_8_0"/>
      <w:bookmarkStart w:id="2260" w:name="Tc_QnZOeaqS8ESc0bYlVn-TZg_7_0"/>
      <w:bookmarkStart w:id="2261" w:name="Tc_jRs9IGNzjEWavmR2OL88qw_6_6"/>
      <w:bookmarkStart w:id="2262" w:name="Tc_kWZYKplcbk-dtFNZu4OZ-A_6_0"/>
      <w:bookmarkStart w:id="2263" w:name="Tc_VFiok9C_8EyD38pvwocl2Q_5_14"/>
      <w:bookmarkStart w:id="2264" w:name="Tc_L7Xhw4MbtUCoRywvzc3KIw_5_11"/>
      <w:bookmarkStart w:id="2265" w:name="Tc_rOkhraThkEKTWuAD5fc1fw_5_8"/>
      <w:bookmarkStart w:id="2266" w:name="Tc_veXeRtRXSE6XkoqfIY2f-w_5_5"/>
      <w:bookmarkStart w:id="2267" w:name="Tc_78WUbXmfJUGGKk0jjXg23g_5_2"/>
      <w:bookmarkStart w:id="2268" w:name="Tc__UlzUFz0e0iDNCQu4yYRUw_5_0"/>
      <w:bookmarkStart w:id="2269" w:name="Tc_BhibwR6Gmk2O9iUC-GRIyw_4_0"/>
      <w:bookmarkStart w:id="2270" w:name="Tc_hgV-BI3cOkS3y9UL_dNi1A_3_14"/>
      <w:bookmarkStart w:id="2271" w:name="Tc_XFFcsBajw02jTTZoHZThFg_3_11"/>
      <w:bookmarkStart w:id="2272" w:name="Tc_z_W534ePCE2CcbrcBZREIg_3_8"/>
      <w:bookmarkStart w:id="2273" w:name="Tc_h92gzHq5zU6shNsFo6nwIQ_3_5"/>
      <w:bookmarkStart w:id="2274" w:name="Tc_IyMj6yUSxki20Pu8MfcK3Q_3_2"/>
      <w:bookmarkStart w:id="2275" w:name="Tc_aXLUTGuGuk20_UdgRzpEfQ_2_14"/>
      <w:bookmarkStart w:id="2276" w:name="Tc_PYMfPWmC5E64BHYOG9Ruag_2_11"/>
      <w:bookmarkStart w:id="2277" w:name="Tc_nSAhGd0SekqQNajA1ZzS2w_2_8"/>
      <w:bookmarkStart w:id="2278" w:name="Tc_-gMZLpxk7U-SbLbYGBcaCg_2_5"/>
      <w:bookmarkStart w:id="2279" w:name="Tc_oj8JCTpWoEKel15YAfdkYA_2_2"/>
      <w:bookmarkStart w:id="2280" w:name="Tc_qKEe8_HeoEOO7T9cpANwKA_1_2"/>
      <w:bookmarkStart w:id="2281" w:name="_0f962405_163f_4089_b1ed_8d59cf4f8b3e"/>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p>
    <w:tbl>
      <w:tblPr>
        <w:tblW w:w="10205" w:type="dxa"/>
        <w:jc w:val="left"/>
        <w:tblInd w:w="0" w:type="dxa"/>
        <w:tblLayout w:type="fixed"/>
        <w:tblCellMar>
          <w:top w:w="0" w:type="dxa"/>
          <w:left w:w="0" w:type="dxa"/>
          <w:bottom w:w="0" w:type="dxa"/>
          <w:right w:w="0" w:type="dxa"/>
        </w:tblCellMar>
      </w:tblPr>
      <w:tblGrid>
        <w:gridCol w:w="2902"/>
        <w:gridCol w:w="346"/>
        <w:gridCol w:w="211"/>
        <w:gridCol w:w="931"/>
        <w:gridCol w:w="346"/>
        <w:gridCol w:w="234"/>
        <w:gridCol w:w="817"/>
        <w:gridCol w:w="346"/>
        <w:gridCol w:w="211"/>
        <w:gridCol w:w="931"/>
        <w:gridCol w:w="346"/>
        <w:gridCol w:w="242"/>
        <w:gridCol w:w="899"/>
        <w:gridCol w:w="346"/>
        <w:gridCol w:w="211"/>
        <w:gridCol w:w="886"/>
      </w:tblGrid>
      <w:tr>
        <w:trPr/>
        <w:tc>
          <w:tcPr>
            <w:tcW w:w="2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842770" cy="175260"/>
                      <wp:effectExtent l="0" t="0" r="0" b="0"/>
                      <wp:wrapNone/>
                      <wp:docPr id="657" name="Frame655"/>
                      <a:graphic xmlns:a="http://schemas.openxmlformats.org/drawingml/2006/main">
                        <a:graphicData uri="http://schemas.microsoft.com/office/word/2010/wordprocessingShape">
                          <wps:wsp>
                            <wps:cNvSpPr txBox="1"/>
                            <wps:spPr>
                              <a:xfrm>
                                <a:off x="0" y="0"/>
                                <a:ext cx="184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19710" cy="175260"/>
                      <wp:effectExtent l="0" t="0" r="0" b="0"/>
                      <wp:wrapNone/>
                      <wp:docPr id="658" name="Frame6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33985" cy="175260"/>
                      <wp:effectExtent l="0" t="0" r="0" b="0"/>
                      <wp:wrapNone/>
                      <wp:docPr id="659" name="Frame6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591185" cy="175260"/>
                      <wp:effectExtent l="0" t="0" r="0" b="0"/>
                      <wp:wrapNone/>
                      <wp:docPr id="660" name="Frame6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9710" cy="175260"/>
                      <wp:effectExtent l="0" t="0" r="0" b="0"/>
                      <wp:wrapNone/>
                      <wp:docPr id="661" name="Frame6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48590" cy="175260"/>
                      <wp:effectExtent l="0" t="0" r="0" b="0"/>
                      <wp:wrapNone/>
                      <wp:docPr id="662" name="Frame66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518795" cy="175260"/>
                      <wp:effectExtent l="0" t="0" r="0" b="0"/>
                      <wp:wrapNone/>
                      <wp:docPr id="663" name="Frame661"/>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4" name="Frame6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33985" cy="175260"/>
                      <wp:effectExtent l="0" t="0" r="0" b="0"/>
                      <wp:wrapNone/>
                      <wp:docPr id="665" name="Frame6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591185" cy="175260"/>
                      <wp:effectExtent l="0" t="0" r="0" b="0"/>
                      <wp:wrapNone/>
                      <wp:docPr id="666" name="Frame6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175260"/>
                      <wp:effectExtent l="0" t="0" r="0" b="0"/>
                      <wp:wrapNone/>
                      <wp:docPr id="667" name="Frame6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53670" cy="175260"/>
                      <wp:effectExtent l="0" t="0" r="0" b="0"/>
                      <wp:wrapNone/>
                      <wp:docPr id="668" name="Frame66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570865" cy="175260"/>
                      <wp:effectExtent l="0" t="0" r="0" b="0"/>
                      <wp:wrapNone/>
                      <wp:docPr id="669" name="Frame66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70" name="Frame6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33985" cy="175260"/>
                      <wp:effectExtent l="0" t="0" r="0" b="0"/>
                      <wp:wrapNone/>
                      <wp:docPr id="671" name="Frame6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562610" cy="175260"/>
                      <wp:effectExtent l="0" t="0" r="0" b="0"/>
                      <wp:wrapNone/>
                      <wp:docPr id="672" name="Frame6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5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External</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tangible assets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Geographic region: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  ​ ​ ​</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563,037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589,599</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539,052</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276,324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276,324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4,262</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Americas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155,075</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155,081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112,108</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Americas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994,436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1,021,004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655,422</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372,959</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382,434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88,101</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Europe, Middle East and Africa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50,030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50,030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10,449</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EMEA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422,989</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432,464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98,550</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Asia-Pacific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295,741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323,139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18,199</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1,713,166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1,713,166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772,171</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02"/>
        <w:gridCol w:w="346"/>
        <w:gridCol w:w="211"/>
        <w:gridCol w:w="931"/>
        <w:gridCol w:w="346"/>
        <w:gridCol w:w="234"/>
        <w:gridCol w:w="817"/>
        <w:gridCol w:w="346"/>
        <w:gridCol w:w="211"/>
        <w:gridCol w:w="931"/>
        <w:gridCol w:w="346"/>
        <w:gridCol w:w="242"/>
        <w:gridCol w:w="899"/>
        <w:gridCol w:w="346"/>
        <w:gridCol w:w="211"/>
        <w:gridCol w:w="886"/>
      </w:tblGrid>
      <w:tr>
        <w:trPr/>
        <w:tc>
          <w:tcPr>
            <w:tcW w:w="2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842770" cy="175260"/>
                      <wp:effectExtent l="0" t="0" r="0" b="0"/>
                      <wp:wrapNone/>
                      <wp:docPr id="673" name="Frame671"/>
                      <a:graphic xmlns:a="http://schemas.openxmlformats.org/drawingml/2006/main">
                        <a:graphicData uri="http://schemas.microsoft.com/office/word/2010/wordprocessingShape">
                          <wps:wsp>
                            <wps:cNvSpPr txBox="1"/>
                            <wps:spPr>
                              <a:xfrm>
                                <a:off x="0" y="0"/>
                                <a:ext cx="184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19710" cy="175260"/>
                      <wp:effectExtent l="0" t="0" r="0" b="0"/>
                      <wp:wrapNone/>
                      <wp:docPr id="674"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33985" cy="175260"/>
                      <wp:effectExtent l="0" t="0" r="0" b="0"/>
                      <wp:wrapNone/>
                      <wp:docPr id="675" name="Frame6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591185" cy="175260"/>
                      <wp:effectExtent l="0" t="0" r="0" b="0"/>
                      <wp:wrapNone/>
                      <wp:docPr id="676" name="Frame6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7" name="Frame6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48590" cy="175260"/>
                      <wp:effectExtent l="0" t="0" r="0" b="0"/>
                      <wp:wrapNone/>
                      <wp:docPr id="678" name="Frame676"/>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518795" cy="175260"/>
                      <wp:effectExtent l="0" t="0" r="0" b="0"/>
                      <wp:wrapNone/>
                      <wp:docPr id="679" name="Frame677"/>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19710" cy="175260"/>
                      <wp:effectExtent l="0" t="0" r="0" b="0"/>
                      <wp:wrapNone/>
                      <wp:docPr id="680" name="Frame6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33985" cy="175260"/>
                      <wp:effectExtent l="0" t="0" r="0" b="0"/>
                      <wp:wrapNone/>
                      <wp:docPr id="681" name="Frame6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591185" cy="175260"/>
                      <wp:effectExtent l="0" t="0" r="0" b="0"/>
                      <wp:wrapNone/>
                      <wp:docPr id="682" name="Frame6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19710" cy="175260"/>
                      <wp:effectExtent l="0" t="0" r="0" b="0"/>
                      <wp:wrapNone/>
                      <wp:docPr id="683" name="Frame6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53670" cy="175260"/>
                      <wp:effectExtent l="0" t="0" r="0" b="0"/>
                      <wp:wrapNone/>
                      <wp:docPr id="684" name="Frame68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570865" cy="175260"/>
                      <wp:effectExtent l="0" t="0" r="0" b="0"/>
                      <wp:wrapNone/>
                      <wp:docPr id="685" name="Frame68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19710" cy="175260"/>
                      <wp:effectExtent l="0" t="0" r="0" b="0"/>
                      <wp:wrapNone/>
                      <wp:docPr id="686" name="Frame6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33985" cy="175260"/>
                      <wp:effectExtent l="0" t="0" r="0" b="0"/>
                      <wp:wrapNone/>
                      <wp:docPr id="687" name="Frame6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562610" cy="175260"/>
                      <wp:effectExtent l="0" t="0" r="0" b="0"/>
                      <wp:wrapNone/>
                      <wp:docPr id="688" name="Frame6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5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External</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r>
      <w:tr>
        <w:trPr/>
        <w:tc>
          <w:tcPr>
            <w:tcW w:w="29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tangible assets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Geographic region: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  ​ ​ ​</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583,217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612,327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556,716</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99,126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99,126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4,218</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Americas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205,897</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205,909</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140,349</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Americas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888,240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917,362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701,283</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503,463</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516,973</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90,840</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Europe, Middle East and Africa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8,563</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EMEA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581,322</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594,832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99,403</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Asia-Pacific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316,422</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349,301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22,363</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(75,511)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1,785,984</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1,785,984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823,049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ASC 280 Segment Reporting, external revenues are attributed to individual countries based upon the location of our selling entity.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282" w:name="Tc_6XatglLJTk-fAP3G3NZMfA_19_11"/>
      <w:bookmarkStart w:id="2283" w:name="Tc_VrGdFYUqske34z3QsbBWpA_19_8"/>
      <w:bookmarkStart w:id="2284" w:name="Tc_y0G8Kth7-Uyp35NVwtIhpg_19_5"/>
      <w:bookmarkStart w:id="2285" w:name="Tc_KvbG8V3HfE-TBaWvmu8mcQ_19_2"/>
      <w:bookmarkStart w:id="2286" w:name="Tc_UPG6G3za5EOTFWRZvImUIA_19_0"/>
      <w:bookmarkStart w:id="2287" w:name="Tc_A_g0jroi8EeIbrinMAooqA_18_11"/>
      <w:bookmarkStart w:id="2288" w:name="Tc_iWudefRQGUSIio6TOj-DAw_18_8"/>
      <w:bookmarkStart w:id="2289" w:name="Tc_aWu9JI-_sEyNxUhFx9QGtg_18_5"/>
      <w:bookmarkStart w:id="2290" w:name="Tc_JFJUpkauaUOZVHzF5H7pBg_18_2"/>
      <w:bookmarkStart w:id="2291" w:name="Tc_mkGSLohsLkWWONuOxOp5yg_18_0"/>
      <w:bookmarkStart w:id="2292" w:name="Tc_L3ENaL5r90CuzB_PpDU-xg_17_11"/>
      <w:bookmarkStart w:id="2293" w:name="Tc_75r0FNVMyk6EXdyYPiFuVQ_17_8"/>
      <w:bookmarkStart w:id="2294" w:name="Tc_3jN0k9m4u0uQ_CXJiLTzbw_17_5"/>
      <w:bookmarkStart w:id="2295" w:name="Tc_KPDPSMrytkOSbnOTWOELNw_17_2"/>
      <w:bookmarkStart w:id="2296" w:name="Tc_rxi2BwnQXk295qL_LSAqOQ_17_0"/>
      <w:bookmarkStart w:id="2297" w:name="Tc_oiZVZZCTQ0mcaNB0seoscA_16_0"/>
      <w:bookmarkStart w:id="2298" w:name="Tc_MtmZW23kRUWOr1SLKVl5Vg_15_0"/>
      <w:bookmarkStart w:id="2299" w:name="Tc_haW4nWjH6kW8_Ew3ZrLMsQ_14_0"/>
      <w:bookmarkStart w:id="2300" w:name="Tc_Azpia2ojSEWoeJON6nA7TA_13_0"/>
      <w:bookmarkStart w:id="2301" w:name="Tc_w2XzJkXmfEW9XMBL2YOVNQ_12_0"/>
      <w:bookmarkStart w:id="2302" w:name="Tc_1DbeXWM4UkakC07JnyP-Zw_11_0"/>
      <w:bookmarkStart w:id="2303" w:name="Tc_wSPXTFqamEih6ctLTzQLVA_10_0"/>
      <w:bookmarkStart w:id="2304" w:name="Tc_1hToTtrme0qyFrmwZrOKwA_9_0"/>
      <w:bookmarkStart w:id="2305" w:name="Tc_1W9BYXi6uUCMKjsSBljlxg_8_0"/>
      <w:bookmarkStart w:id="2306" w:name="Tc_HaPdNm6Hm02nZnL9rQFBMA_7_0"/>
      <w:bookmarkStart w:id="2307" w:name="Tc_l-e7qRmWzkOnLJ_hjSD-Qg_6_0"/>
      <w:bookmarkStart w:id="2308" w:name="Tc_jRwqyJcBSEC1BjSS16qbYA_5_11"/>
      <w:bookmarkStart w:id="2309" w:name="Tc_4YQd0kAlq0OJ727AorbFrg_5_8"/>
      <w:bookmarkStart w:id="2310" w:name="Tc_w-hqT3YErUCOxs6AqNyA7A_5_5"/>
      <w:bookmarkStart w:id="2311" w:name="Tc_ya41HLQPVEaUUt9hMIgADg_5_2"/>
      <w:bookmarkStart w:id="2312" w:name="Tc_508HNHX56E-cqBt2YnTJYA_5_0"/>
      <w:bookmarkStart w:id="2313" w:name="Tc_DilRvEF8d0-eif5kj5iNJQ_4_2"/>
      <w:bookmarkStart w:id="2314" w:name="Tc_C61CRu8D5UKaRpeYTWE_dA_3_11"/>
      <w:bookmarkStart w:id="2315" w:name="Tc_9hQAC-R1IkuWcRWrOgePOA_3_8"/>
      <w:bookmarkStart w:id="2316" w:name="Tc_LizuuVA1nkySwTNygDkbSQ_3_5"/>
      <w:bookmarkStart w:id="2317" w:name="Tc_j5bjoWE5P0ixxVF63HI3_g_3_2"/>
      <w:bookmarkStart w:id="2318" w:name="Tc_rQ2jp-Wma0qoUoBo0-R7kQ_2_11"/>
      <w:bookmarkStart w:id="2319" w:name="Tc_YDO49NfKC0y9jfj7LANxDQ_2_8"/>
      <w:bookmarkStart w:id="2320" w:name="Tc_6G_wQzdnJEGgrCDT0WiPKA_2_5"/>
      <w:bookmarkStart w:id="2321" w:name="Tc_Au8sbuJgdU-7xc9XwtVn7w_2_2"/>
      <w:bookmarkStart w:id="2322" w:name="Tc_-iixdpZJAUuVuWQCw-8b5g_1_2"/>
      <w:bookmarkStart w:id="2323" w:name="_5ce8a7ac_cf43_4583_9f06_9d6a8b966018"/>
      <w:bookmarkStart w:id="2324" w:name="Tc_cRvNKn2ndUaVl8gOIpWkSg_19_11"/>
      <w:bookmarkStart w:id="2325" w:name="Tc_kQaThaO2102SycaaQcmcIA_19_8"/>
      <w:bookmarkStart w:id="2326" w:name="Tc_7Xb85s0V4kaWrB6s61kIjg_19_5"/>
      <w:bookmarkStart w:id="2327" w:name="Tc_39InD9G2NUWDtPjqldQsXg_19_2"/>
      <w:bookmarkStart w:id="2328" w:name="Tc_6ucjiirxr0iCJNE3Xk5Htg_19_0"/>
      <w:bookmarkStart w:id="2329" w:name="Tc_0UcnID0ECU-Ibw0dikWTFw_18_11"/>
      <w:bookmarkStart w:id="2330" w:name="Tc_2HkJUiecHkKA6208aJxIaQ_18_8"/>
      <w:bookmarkStart w:id="2331" w:name="Tc_zmfJt3XxPk6GmwUJTXe3lw_18_5"/>
      <w:bookmarkStart w:id="2332" w:name="Tc_Uras2I0CAUSEVrtKgRE3nw_18_2"/>
      <w:bookmarkStart w:id="2333" w:name="Tc_iSUob7ixZ068NVbRLnXFpg_18_0"/>
      <w:bookmarkStart w:id="2334" w:name="Tc_kBT_PnL_wUaUINCnJAnSoA_17_11"/>
      <w:bookmarkStart w:id="2335" w:name="Tc_8iGfSJN03Uqfl01_QmWe1Q_17_8"/>
      <w:bookmarkStart w:id="2336" w:name="Tc_jUZ9QoyABESQiaO4eDtuYw_17_5"/>
      <w:bookmarkStart w:id="2337" w:name="Tc_0K8x3k2i3EKX0QhiGU1kRQ_17_2"/>
      <w:bookmarkStart w:id="2338" w:name="Tc_32tbClMyR0en7k7jRc_YJQ_17_0"/>
      <w:bookmarkStart w:id="2339" w:name="Tc_NwCG1zNQ0kqo7oMBSfhBdA_16_0"/>
      <w:bookmarkStart w:id="2340" w:name="Tc_UAikZgcpW0OVDPvINaarPw_15_0"/>
      <w:bookmarkStart w:id="2341" w:name="Tc_qGxzie9re0mnhsMcRk5VRA_14_0"/>
      <w:bookmarkStart w:id="2342" w:name="Tc_HAX0GexmZkq-9WBkxJQt7w_13_0"/>
      <w:bookmarkStart w:id="2343" w:name="Tc_XS32xhzQIEGnwb051VGaqg_12_0"/>
      <w:bookmarkStart w:id="2344" w:name="Tc_LuBs4GNUi0mJJyMot9c5UA_11_0"/>
      <w:bookmarkStart w:id="2345" w:name="Tc_BZd6yAmy9Uu-4yXG8x52oA_10_0"/>
      <w:bookmarkStart w:id="2346" w:name="Tc_wsItgqHd8keKLaUa1-IIvw_9_0"/>
      <w:bookmarkStart w:id="2347" w:name="Tc_Ta4UjH3820-EJ_kXuELm4w_8_0"/>
      <w:bookmarkStart w:id="2348" w:name="Tc_-x7mjo6OdUm64xKRjqFGwQ_7_0"/>
      <w:bookmarkStart w:id="2349" w:name="Tc_6mxY6U51zEuR1quHVLGTpw_6_0"/>
      <w:bookmarkStart w:id="2350" w:name="Tc_hTsyhPgzOUyJ2RzbY7E0JQ_5_5"/>
      <w:bookmarkStart w:id="2351" w:name="Tc_dqT0RYZhBkSmI_0zimsjcQ_5_2"/>
      <w:bookmarkStart w:id="2352" w:name="Tc_jR8ymstOzkKtwaDzOolJvw_5_0"/>
      <w:bookmarkStart w:id="2353" w:name="Tc_kQV-H815mEmCR_sfBOWFpA_4_2"/>
      <w:bookmarkStart w:id="2354" w:name="Tc_V2QRaM_uZkyl-oC4R9-hKQ_3_11"/>
      <w:bookmarkStart w:id="2355" w:name="Tc_9Psgngud7Umqe4qJl1t4zg_3_8"/>
      <w:bookmarkStart w:id="2356" w:name="Tc_nA9ds3iP7kuYG8KJjZ_ViQ_3_5"/>
      <w:bookmarkStart w:id="2357" w:name="Tc_fwhHu70wkkiX1qkm1xIEQw_3_2"/>
      <w:bookmarkStart w:id="2358" w:name="Tc_i_JWHOwwqkCZ814X1IoXNw_2_11"/>
      <w:bookmarkStart w:id="2359" w:name="Tc_C6npUFa7l0GI5CZ-iP7lCw_2_8"/>
      <w:bookmarkStart w:id="2360" w:name="Tc_o8aE42YlnkO017ypGxRuPQ_2_5"/>
      <w:bookmarkStart w:id="2361" w:name="Tc_Ja5B4OwSvkGKRnYjtZSqbA_2_2"/>
      <w:bookmarkStart w:id="2362" w:name="Tc_WVRVf6fRF02q3ryzJVguDA_1_2"/>
      <w:bookmarkStart w:id="2363" w:name="_60300be6_11e7_481c_b23a_3e268461f8ee"/>
      <w:bookmarkStart w:id="2364" w:name="SUPPLEMENTARYDATA_962185"/>
      <w:bookmarkStart w:id="2365" w:name="SUPPLEMENTARYDATA_335018"/>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r>
        <w:rPr>
          <w:rFonts w:ascii="Times New Roman;Times;serif" w:hAnsi="Times New Roman;Times;serif"/>
          <w:b/>
          <w:sz w:val="20"/>
        </w:rPr>
        <w:t>SUPPLEMENTARY DATA</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UNAUDITED QUARTERLY RESULTS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present unaudited quarterly financial information for the four quarters in the fiscal years ended June 30, 2025 and 2026 (in thousands, except per share data):</w:t>
      </w:r>
    </w:p>
    <w:p>
      <w:pPr>
        <w:pStyle w:val="TextBody"/>
        <w:bidi w:val="0"/>
        <w:spacing w:before="0" w:after="0"/>
        <w:ind w:left="0" w:right="0" w:hanging="0"/>
        <w:jc w:val="left"/>
        <w:rPr/>
      </w:pPr>
      <w:r>
        <w:rPr/>
        <w:t>​</w:t>
      </w:r>
    </w:p>
    <w:tbl>
      <w:tblPr>
        <w:tblW w:w="9399" w:type="dxa"/>
        <w:jc w:val="left"/>
        <w:tblInd w:w="0" w:type="dxa"/>
        <w:tblLayout w:type="fixed"/>
        <w:tblCellMar>
          <w:top w:w="0" w:type="dxa"/>
          <w:left w:w="0" w:type="dxa"/>
          <w:bottom w:w="0" w:type="dxa"/>
          <w:right w:w="0" w:type="dxa"/>
        </w:tblCellMar>
      </w:tblPr>
      <w:tblGrid>
        <w:gridCol w:w="3646"/>
        <w:gridCol w:w="346"/>
        <w:gridCol w:w="252"/>
        <w:gridCol w:w="933"/>
        <w:gridCol w:w="346"/>
        <w:gridCol w:w="242"/>
        <w:gridCol w:w="898"/>
        <w:gridCol w:w="346"/>
        <w:gridCol w:w="211"/>
        <w:gridCol w:w="781"/>
        <w:gridCol w:w="346"/>
        <w:gridCol w:w="211"/>
        <w:gridCol w:w="84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315210" cy="175260"/>
                      <wp:effectExtent l="0" t="0" r="0" b="0"/>
                      <wp:wrapNone/>
                      <wp:docPr id="689" name="Frame687"/>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9710" cy="175260"/>
                      <wp:effectExtent l="0" t="0" r="0" b="0"/>
                      <wp:wrapNone/>
                      <wp:docPr id="690"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60020" cy="175260"/>
                      <wp:effectExtent l="0" t="0" r="0" b="0"/>
                      <wp:wrapNone/>
                      <wp:docPr id="691" name="Frame68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592455" cy="175260"/>
                      <wp:effectExtent l="0" t="0" r="0" b="0"/>
                      <wp:wrapNone/>
                      <wp:docPr id="692" name="Frame69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93" name="Frame6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153670" cy="175260"/>
                      <wp:effectExtent l="0" t="0" r="0" b="0"/>
                      <wp:wrapNone/>
                      <wp:docPr id="694" name="Frame69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570230" cy="175260"/>
                      <wp:effectExtent l="0" t="0" r="0" b="0"/>
                      <wp:wrapNone/>
                      <wp:docPr id="695" name="Frame69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19710" cy="175260"/>
                      <wp:effectExtent l="0" t="0" r="0" b="0"/>
                      <wp:wrapNone/>
                      <wp:docPr id="696" name="Frame6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33985" cy="175260"/>
                      <wp:effectExtent l="0" t="0" r="0" b="0"/>
                      <wp:wrapNone/>
                      <wp:docPr id="697" name="Frame6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495935" cy="175260"/>
                      <wp:effectExtent l="0" t="0" r="0" b="0"/>
                      <wp:wrapNone/>
                      <wp:docPr id="698" name="Frame6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19710" cy="175260"/>
                      <wp:effectExtent l="0" t="0" r="0" b="0"/>
                      <wp:wrapNone/>
                      <wp:docPr id="699" name="Frame6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33985" cy="175260"/>
                      <wp:effectExtent l="0" t="0" r="0" b="0"/>
                      <wp:wrapNone/>
                      <wp:docPr id="700" name="Frame6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534035" cy="175260"/>
                      <wp:effectExtent l="0" t="0" r="0" b="0"/>
                      <wp:wrapNone/>
                      <wp:docPr id="701" name="Frame69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40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Quarter Ended</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39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344,007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504,985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goods sold</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222,505</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336,747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121,502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168,238</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72,223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74,685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restructuring and other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91,174</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95,216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30,328</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73,022</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expense, net</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(7,359)</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65,798</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(13,050)</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52,748</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common share</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3.03</w:t>
            </w:r>
          </w:p>
        </w:tc>
      </w:tr>
    </w:tbl>
    <w:p>
      <w:pPr>
        <w:pStyle w:val="TextBody"/>
        <w:bidi w:val="0"/>
        <w:spacing w:before="0" w:after="0"/>
        <w:ind w:left="0" w:right="0" w:hanging="0"/>
        <w:jc w:val="left"/>
        <w:rPr/>
      </w:pPr>
      <w:r>
        <w:rPr/>
        <w:t>​</w:t>
      </w:r>
    </w:p>
    <w:tbl>
      <w:tblPr>
        <w:tblW w:w="9399" w:type="dxa"/>
        <w:jc w:val="left"/>
        <w:tblInd w:w="0" w:type="dxa"/>
        <w:tblLayout w:type="fixed"/>
        <w:tblCellMar>
          <w:top w:w="0" w:type="dxa"/>
          <w:left w:w="0" w:type="dxa"/>
          <w:bottom w:w="0" w:type="dxa"/>
          <w:right w:w="0" w:type="dxa"/>
        </w:tblCellMar>
      </w:tblPr>
      <w:tblGrid>
        <w:gridCol w:w="3646"/>
        <w:gridCol w:w="346"/>
        <w:gridCol w:w="252"/>
        <w:gridCol w:w="933"/>
        <w:gridCol w:w="346"/>
        <w:gridCol w:w="242"/>
        <w:gridCol w:w="898"/>
        <w:gridCol w:w="346"/>
        <w:gridCol w:w="211"/>
        <w:gridCol w:w="781"/>
        <w:gridCol w:w="346"/>
        <w:gridCol w:w="211"/>
        <w:gridCol w:w="84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315210" cy="175260"/>
                      <wp:effectExtent l="0" t="0" r="0" b="0"/>
                      <wp:wrapNone/>
                      <wp:docPr id="702" name="Frame700"/>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19710" cy="175260"/>
                      <wp:effectExtent l="0" t="0" r="0" b="0"/>
                      <wp:wrapNone/>
                      <wp:docPr id="703" name="Frame7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160020" cy="175260"/>
                      <wp:effectExtent l="0" t="0" r="0" b="0"/>
                      <wp:wrapNone/>
                      <wp:docPr id="704" name="Frame70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592455" cy="175260"/>
                      <wp:effectExtent l="0" t="0" r="0" b="0"/>
                      <wp:wrapNone/>
                      <wp:docPr id="705" name="Frame70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19710" cy="175260"/>
                      <wp:effectExtent l="0" t="0" r="0" b="0"/>
                      <wp:wrapNone/>
                      <wp:docPr id="706" name="Frame7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53670" cy="175260"/>
                      <wp:effectExtent l="0" t="0" r="0" b="0"/>
                      <wp:wrapNone/>
                      <wp:docPr id="707" name="Frame70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570230" cy="175260"/>
                      <wp:effectExtent l="0" t="0" r="0" b="0"/>
                      <wp:wrapNone/>
                      <wp:docPr id="708" name="Frame70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19710" cy="175260"/>
                      <wp:effectExtent l="0" t="0" r="0" b="0"/>
                      <wp:wrapNone/>
                      <wp:docPr id="709" name="Frame7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133985" cy="175260"/>
                      <wp:effectExtent l="0" t="0" r="0" b="0"/>
                      <wp:wrapNone/>
                      <wp:docPr id="710" name="Frame7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495935" cy="175260"/>
                      <wp:effectExtent l="0" t="0" r="0" b="0"/>
                      <wp:wrapNone/>
                      <wp:docPr id="711" name="Frame7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19710" cy="175260"/>
                      <wp:effectExtent l="0" t="0" r="0" b="0"/>
                      <wp:wrapNone/>
                      <wp:docPr id="712" name="Frame7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33985" cy="175260"/>
                      <wp:effectExtent l="0" t="0" r="0" b="0"/>
                      <wp:wrapNone/>
                      <wp:docPr id="713" name="Frame7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534035" cy="175260"/>
                      <wp:effectExtent l="0" t="0" r="0" b="0"/>
                      <wp:wrapNone/>
                      <wp:docPr id="714" name="Frame71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40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Quarter Ended</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939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384,623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464,057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484,058</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goods sold</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261,438</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316,104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123,185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167,954</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69,747</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19,500</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restructuring and other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90,112</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94,066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73,888</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expense, net</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(7,398)</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(4,118)</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69,770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(5,119)</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(14,530)</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common share</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66" w:name="_83834d67_da96_4f83_8cfd_154cdd9b05a8"/>
      <w:bookmarkEnd w:id="2366"/>
      <w:r>
        <w:rPr>
          <w:rFonts w:ascii="Times New Roman;Times;serif" w:hAnsi="Times New Roman;Times;serif"/>
          <w:b/>
          <w:sz w:val="20"/>
        </w:rPr>
        <w:t>INDEX TO EXHIBITS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12"/>
        <w:gridCol w:w="286"/>
        <w:gridCol w:w="9307"/>
      </w:tblGrid>
      <w:tr>
        <w:trPr/>
        <w:tc>
          <w:tcPr>
            <w:tcW w:w="61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94310" cy="29210"/>
                      <wp:effectExtent l="0" t="0" r="0" b="0"/>
                      <wp:wrapNone/>
                      <wp:docPr id="715" name="Frame713"/>
                      <a:graphic xmlns:a="http://schemas.openxmlformats.org/drawingml/2006/main">
                        <a:graphicData uri="http://schemas.microsoft.com/office/word/2010/wordprocessingShape">
                          <wps:wsp>
                            <wps:cNvSpPr txBox="1"/>
                            <wps:spPr>
                              <a:xfrm>
                                <a:off x="0" y="0"/>
                                <a:ext cx="194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Heading"/>
              <w:bidi w:val="0"/>
              <w:spacing w:before="0" w:after="0"/>
              <w:ind w:left="0" w:right="0" w:hanging="0"/>
              <w:jc w:val="left"/>
              <w:rPr/>
            </w:pPr>
            <w:r>
              <w:rPr/>
              <w:t>​</w:t>
            </w:r>
          </w:p>
        </w:tc>
        <w:tc>
          <w:tcPr>
            <w:tcW w:w="930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954655" cy="29210"/>
                      <wp:effectExtent l="0" t="0" r="0" b="0"/>
                      <wp:wrapNone/>
                      <wp:docPr id="716" name="Frame714"/>
                      <a:graphic xmlns:a="http://schemas.openxmlformats.org/drawingml/2006/main">
                        <a:graphicData uri="http://schemas.microsoft.com/office/word/2010/wordprocessingShape">
                          <wps:wsp>
                            <wps:cNvSpPr txBox="1"/>
                            <wps:spPr>
                              <a:xfrm>
                                <a:off x="0" y="0"/>
                                <a:ext cx="2954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12" w:type="dxa"/>
            <w:tcBorders>
              <w:bottom w:val="single" w:sz="2" w:space="0" w:color="000000"/>
            </w:tcBorders>
            <w:tcMar>
              <w:bottom w:w="28" w:type="dxa"/>
            </w:tcMar>
            <w:vAlign w:val="center"/>
          </w:tcPr>
          <w:p>
            <w:pPr>
              <w:pStyle w:val="TableHeading"/>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w:t>
            </w:r>
          </w:p>
        </w:tc>
        <w:tc>
          <w:tcPr>
            <w:tcW w:w="286" w:type="dxa"/>
            <w:tcBorders/>
            <w:vAlign w:val="center"/>
          </w:tcPr>
          <w:p>
            <w:pPr>
              <w:pStyle w:val="TableHeading"/>
              <w:bidi w:val="0"/>
              <w:spacing w:before="0" w:after="0"/>
              <w:ind w:left="0" w:right="0" w:hanging="0"/>
              <w:jc w:val="left"/>
              <w:rPr/>
            </w:pPr>
            <w:r>
              <w:rPr/>
              <w:t>  ​ ​</w:t>
            </w:r>
          </w:p>
        </w:tc>
        <w:tc>
          <w:tcPr>
            <w:tcW w:w="9307"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 DESCRIPTION</w:t>
            </w:r>
          </w:p>
        </w:tc>
      </w:tr>
      <w:tr>
        <w:trPr/>
        <w:tc>
          <w:tcPr>
            <w:tcW w:w="612" w:type="dxa"/>
            <w:tcBorders>
              <w:top w:val="single" w:sz="2" w:space="0" w:color="000000"/>
            </w:tcBorders>
            <w:tcMar>
              <w:top w:w="28" w:type="dxa"/>
            </w:tcMar>
            <w:vAlign w:val="center"/>
          </w:tcPr>
          <w:p>
            <w:pPr>
              <w:pStyle w:val="TableHeading"/>
              <w:pBdr/>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9307"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3.1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4">
              <w:r>
                <w:rPr>
                  <w:rStyle w:val="InternetLink"/>
                  <w:rFonts w:ascii="Times New Roman;Times;serif" w:hAnsi="Times New Roman;Times;serif"/>
                  <w:b w:val="false"/>
                  <w:i w:val="false"/>
                  <w:caps w:val="false"/>
                  <w:smallCaps w:val="false"/>
                  <w:sz w:val="24"/>
                </w:rPr>
                <w:t>Certificate of Incorporation of OSI Systems, Inc. (1)</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3.2</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5">
              <w:r>
                <w:rPr>
                  <w:rStyle w:val="InternetLink"/>
                  <w:rFonts w:ascii="Times New Roman;Times;serif" w:hAnsi="Times New Roman;Times;serif"/>
                  <w:b w:val="false"/>
                  <w:i w:val="false"/>
                  <w:caps w:val="false"/>
                  <w:smallCaps w:val="false"/>
                  <w:sz w:val="24"/>
                </w:rPr>
                <w:t>Amended and Restated Bylaws of OSI Systems, Inc. (16)</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4.1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6">
              <w:r>
                <w:rPr>
                  <w:rStyle w:val="InternetLink"/>
                  <w:rFonts w:ascii="Times New Roman;Times;serif" w:hAnsi="Times New Roman;Times;serif"/>
                  <w:b w:val="false"/>
                  <w:i w:val="false"/>
                  <w:caps w:val="false"/>
                  <w:smallCaps w:val="false"/>
                  <w:sz w:val="24"/>
                </w:rPr>
                <w:t>Form of Common Stock Certificate (1)</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4.2</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7">
              <w:r>
                <w:rPr>
                  <w:rStyle w:val="InternetLink"/>
                  <w:rFonts w:ascii="Times New Roman;Times;serif" w:hAnsi="Times New Roman;Times;serif"/>
                  <w:b w:val="false"/>
                  <w:i w:val="false"/>
                  <w:caps w:val="false"/>
                  <w:smallCaps w:val="false"/>
                  <w:sz w:val="24"/>
                </w:rPr>
                <w:t>Indenture, dated as of July 19, 2024, between OSI Systems, Inc. and U.S. Bank Trust Company, National Association, as trustee. (11)</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4.3</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8">
              <w:r>
                <w:rPr>
                  <w:rStyle w:val="InternetLink"/>
                  <w:rFonts w:ascii="Times New Roman;Times;serif" w:hAnsi="Times New Roman;Times;serif"/>
                  <w:b w:val="false"/>
                  <w:i w:val="false"/>
                  <w:caps w:val="false"/>
                  <w:smallCaps w:val="false"/>
                  <w:sz w:val="24"/>
                </w:rPr>
                <w:t>Form of certificate representing the 2.25% Convertible Senior Notes due 2029 (included as Exhibit A to Exhibit 4.2). (11)</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4.4</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9">
              <w:r>
                <w:rPr>
                  <w:rStyle w:val="InternetLink"/>
                  <w:rFonts w:ascii="Times New Roman;Times;serif" w:hAnsi="Times New Roman;Times;serif"/>
                  <w:b w:val="false"/>
                  <w:i w:val="false"/>
                  <w:caps w:val="false"/>
                  <w:smallCaps w:val="false"/>
                  <w:sz w:val="24"/>
                </w:rPr>
                <w:t>Indenture dated as of November 20, 2025 between OSI Systems, Inc. And U.S. Bank Trust Company, National Association, as trustee (20)</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4.5</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0">
              <w:r>
                <w:rPr>
                  <w:rStyle w:val="InternetLink"/>
                  <w:rFonts w:ascii="Times New Roman;Times;serif" w:hAnsi="Times New Roman;Times;serif"/>
                  <w:b w:val="false"/>
                  <w:i w:val="false"/>
                  <w:caps w:val="false"/>
                  <w:smallCaps w:val="false"/>
                  <w:sz w:val="24"/>
                </w:rPr>
                <w:t>Form of certificate representing the 0.50% Convertible Senior Notes due 2031 (included as Exhibit A to Exhibit 4.4) (20)</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4.6*</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4d6.htm">
              <w:r>
                <w:rPr>
                  <w:rStyle w:val="InternetLink"/>
                  <w:rFonts w:ascii="Times New Roman;Times;serif" w:hAnsi="Times New Roman;Times;serif"/>
                  <w:b w:val="false"/>
                  <w:i w:val="false"/>
                  <w:caps w:val="false"/>
                  <w:smallCaps w:val="false"/>
                  <w:sz w:val="24"/>
                </w:rPr>
                <w:t>Description of Capital Stock</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1">
              <w:r>
                <w:rPr>
                  <w:rStyle w:val="InternetLink"/>
                  <w:rFonts w:ascii="Times New Roman;Times;serif" w:hAnsi="Times New Roman;Times;serif"/>
                  <w:b w:val="false"/>
                  <w:i w:val="false"/>
                  <w:caps w:val="false"/>
                  <w:smallCaps w:val="false"/>
                  <w:sz w:val="24"/>
                </w:rPr>
                <w:t>Second Amended and Restated OSI Systems, Inc. Deferred Compensation Plan (2)</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10.2†*</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10d2.htm">
              <w:r>
                <w:rPr>
                  <w:rStyle w:val="InternetLink"/>
                  <w:rFonts w:ascii="Times New Roman;Times;serif" w:hAnsi="Times New Roman;Times;serif"/>
                  <w:b w:val="false"/>
                  <w:i w:val="false"/>
                  <w:caps w:val="false"/>
                  <w:smallCaps w:val="false"/>
                  <w:sz w:val="24"/>
                </w:rPr>
                <w:t>First Amendment to Second Amended and Restated OSI Systems, Inc. Deferred Compensation Plan</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10.3†</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2">
              <w:r>
                <w:rPr>
                  <w:rStyle w:val="InternetLink"/>
                  <w:rFonts w:ascii="Times New Roman;Times;serif" w:hAnsi="Times New Roman;Times;serif"/>
                  <w:b w:val="false"/>
                  <w:i w:val="false"/>
                  <w:caps w:val="false"/>
                  <w:smallCaps w:val="false"/>
                  <w:sz w:val="24"/>
                </w:rPr>
                <w:t>OSI Systems, Inc. Nonqualified Defined Benefit Plan (3)</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10.4†</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3">
              <w:r>
                <w:rPr>
                  <w:rStyle w:val="InternetLink"/>
                  <w:rFonts w:ascii="Times New Roman;Times;serif" w:hAnsi="Times New Roman;Times;serif"/>
                  <w:b w:val="false"/>
                  <w:i w:val="false"/>
                  <w:caps w:val="false"/>
                  <w:smallCaps w:val="false"/>
                  <w:sz w:val="24"/>
                </w:rPr>
                <w:t>Amended and Restated OSI Systems, Inc. 2008 Employee Stock Purchase Plan (4)</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10.5†</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4">
              <w:r>
                <w:rPr>
                  <w:rStyle w:val="InternetLink"/>
                  <w:rFonts w:ascii="Times New Roman;Times;serif" w:hAnsi="Times New Roman;Times;serif"/>
                  <w:b w:val="false"/>
                  <w:i w:val="false"/>
                  <w:caps w:val="false"/>
                  <w:smallCaps w:val="false"/>
                  <w:sz w:val="18"/>
                </w:rPr>
                <w:t>First Amendment to Amended and Restated OSI Systems, Inc. 2008 Employee Stock Purchase Plan (12)</w:t>
              </w:r>
            </w:hyperlink>
            <w:r>
              <w:rPr>
                <w:rFonts w:ascii="Times New Roman;Times;serif" w:hAnsi="Times New Roman;Times;serif"/>
                <w:sz w:val="18"/>
              </w:rPr>
              <w:t xml:space="preserve"> </w:t>
            </w:r>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10.6†</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5">
              <w:r>
                <w:rPr>
                  <w:rStyle w:val="InternetLink"/>
                  <w:rFonts w:ascii="Times New Roman;Times;serif" w:hAnsi="Times New Roman;Times;serif"/>
                  <w:b w:val="false"/>
                  <w:i w:val="false"/>
                  <w:caps w:val="false"/>
                  <w:smallCaps w:val="false"/>
                  <w:sz w:val="24"/>
                </w:rPr>
                <w:t>Form of Indemnification Agreement for Directors and Executive Officers of OSI Systems, Inc. (5)</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10.7</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6">
              <w:r>
                <w:rPr>
                  <w:rStyle w:val="InternetLink"/>
                  <w:rFonts w:ascii="Times New Roman;Times;serif" w:hAnsi="Times New Roman;Times;serif"/>
                  <w:b w:val="false"/>
                  <w:i w:val="false"/>
                  <w:caps w:val="false"/>
                  <w:smallCaps w:val="false"/>
                  <w:sz w:val="18"/>
                </w:rPr>
                <w:t>Ninth Amendment to Credit Agreement dated July 1, 2025 between Wells Fargo Bank, N.A. and OSI Systems, Inc. (15)</w:t>
              </w:r>
            </w:hyperlink>
            <w:r>
              <w:rPr>
                <w:rFonts w:ascii="Times New Roman;Times;serif" w:hAnsi="Times New Roman;Times;serif"/>
                <w:sz w:val="18"/>
              </w:rPr>
              <w:t xml:space="preserve"> </w:t>
            </w:r>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10.8†</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7">
              <w:r>
                <w:rPr>
                  <w:rStyle w:val="InternetLink"/>
                  <w:rFonts w:ascii="Times New Roman;Times;serif" w:hAnsi="Times New Roman;Times;serif"/>
                  <w:b w:val="false"/>
                  <w:i w:val="false"/>
                  <w:caps w:val="false"/>
                  <w:smallCaps w:val="false"/>
                  <w:sz w:val="24"/>
                </w:rPr>
                <w:t>Amended and Restated Employment Agreement dated April 29, 2024 between Alan Edrick and OSI Systems, Inc. (10)</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10.9†</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8">
              <w:r>
                <w:rPr>
                  <w:rStyle w:val="InternetLink"/>
                  <w:rFonts w:ascii="Times New Roman;Times;serif" w:hAnsi="Times New Roman;Times;serif"/>
                  <w:b w:val="false"/>
                  <w:i w:val="false"/>
                  <w:caps w:val="false"/>
                  <w:smallCaps w:val="false"/>
                  <w:sz w:val="24"/>
                </w:rPr>
                <w:t>Amended and Restated Employment Agreement dated April 29, 2024 between Ajay Mehra and OSI Systems, Inc. (10)</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10.10†</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19">
              <w:r>
                <w:rPr>
                  <w:rStyle w:val="InternetLink"/>
                  <w:rFonts w:ascii="Times New Roman;Times;serif" w:hAnsi="Times New Roman;Times;serif"/>
                  <w:b w:val="false"/>
                  <w:i w:val="false"/>
                  <w:caps w:val="false"/>
                  <w:smallCaps w:val="false"/>
                  <w:sz w:val="24"/>
                </w:rPr>
                <w:t>Amendment dated December 12, 2024 to Amended and Restated Employment Agreement between Ajay Mehra and OSI Systems, Inc. (18)</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0">
              <w:r>
                <w:rPr>
                  <w:rStyle w:val="InternetLink"/>
                  <w:rFonts w:ascii="Times New Roman;Times;serif" w:hAnsi="Times New Roman;Times;serif"/>
                  <w:b w:val="false"/>
                  <w:i w:val="false"/>
                  <w:caps w:val="false"/>
                  <w:smallCaps w:val="false"/>
                  <w:sz w:val="24"/>
                </w:rPr>
                <w:t>Amended and Restated Employment Agreement dated April 29, 2024 between Victor Sze and OSI Systems, Inc. (10)</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10.12†</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1">
              <w:r>
                <w:rPr>
                  <w:rStyle w:val="InternetLink"/>
                  <w:rFonts w:ascii="Times New Roman;Times;serif" w:hAnsi="Times New Roman;Times;serif"/>
                  <w:b w:val="false"/>
                  <w:i w:val="false"/>
                  <w:caps w:val="false"/>
                  <w:smallCaps w:val="false"/>
                  <w:sz w:val="24"/>
                </w:rPr>
                <w:t>Amended and Restated Retirement Benefit Award Agreement effective as of December 31, 2017 by and between Deepak Chopra and OSI Systems, Inc. (6)</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10.13†</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2">
              <w:r>
                <w:rPr>
                  <w:rStyle w:val="InternetLink"/>
                  <w:rFonts w:ascii="Times New Roman;Times;serif" w:hAnsi="Times New Roman;Times;serif"/>
                  <w:b w:val="false"/>
                  <w:i w:val="false"/>
                  <w:caps w:val="false"/>
                  <w:smallCaps w:val="false"/>
                  <w:sz w:val="24"/>
                </w:rPr>
                <w:t>First Amendment to Amended and Restated Retirement Benefit Award Agreement effective as of June 19, 2020 by and between Deepak Chopra and OSI Systems, Inc. (13)</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10.14†</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3">
              <w:r>
                <w:rPr>
                  <w:rStyle w:val="InternetLink"/>
                  <w:rFonts w:ascii="Times New Roman;Times;serif" w:hAnsi="Times New Roman;Times;serif"/>
                  <w:b w:val="false"/>
                  <w:i w:val="false"/>
                  <w:caps w:val="false"/>
                  <w:smallCaps w:val="false"/>
                  <w:sz w:val="24"/>
                </w:rPr>
                <w:t>Second Amendment to Amended and Restated Retirement Benefit Award Agreement effective as of August 19, 2020 by and between Deepak Chopra and OSI Systems, Inc.(13)</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10.15†</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4">
              <w:r>
                <w:rPr>
                  <w:rStyle w:val="InternetLink"/>
                  <w:rFonts w:ascii="Times New Roman;Times;serif" w:hAnsi="Times New Roman;Times;serif"/>
                  <w:b w:val="false"/>
                  <w:i w:val="false"/>
                  <w:caps w:val="false"/>
                  <w:smallCaps w:val="false"/>
                  <w:sz w:val="24"/>
                </w:rPr>
                <w:t>Third Amendment to Amended and Restated Retirement Benefit Award Agreement effective as of October 27, 2021 by and between Deepak Chopra and OSI Systems, Inc. (14)</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10.16†*</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10d16.htm">
              <w:r>
                <w:rPr>
                  <w:rStyle w:val="InternetLink"/>
                  <w:rFonts w:ascii="Times New Roman;Times;serif" w:hAnsi="Times New Roman;Times;serif"/>
                  <w:b w:val="false"/>
                  <w:i w:val="false"/>
                  <w:caps w:val="false"/>
                  <w:smallCaps w:val="false"/>
                  <w:sz w:val="24"/>
                </w:rPr>
                <w:t>2025 Amendment to Amended and Restated Retirement Benefit Award Agreement effective as of December 23, 2025 by and between Deepak Chopra and OSI Systems, Inc.</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10.17†</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r>
              <w:fldChar w:fldCharType="begin"/>
            </w:r>
            <w:r>
              <w:rPr>
                <w:rStyle w:val="InternetLink"/>
                <w:smallCaps w:val="false"/>
                <w:caps w:val="false"/>
                <w:sz w:val="24"/>
                <w:i w:val="false"/>
                <w:b w:val="false"/>
                <w:rFonts w:ascii="Times New Roman;Times;serif" w:hAnsi="Times New Roman;Times;serif"/>
              </w:rPr>
              <w:instrText xml:space="preserve"> HYPERLINK "https://www.sec.gov/Archives/edgar/data/1039065/000110465920116736/tm2032733-1_def14a.htm" \l "tAOTA"</w:instrText>
            </w:r>
            <w:r>
              <w:rPr>
                <w:rStyle w:val="InternetLink"/>
                <w:smallCaps w:val="false"/>
                <w:caps w:val="false"/>
                <w:sz w:val="24"/>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4"/>
              </w:rPr>
              <w:t>Amended and Restated OSI Systems, Inc. 2012 Incentive Award Plan (7)</w:t>
            </w:r>
            <w:r>
              <w:rPr>
                <w:rStyle w:val="InternetLink"/>
                <w:smallCaps w:val="false"/>
                <w:caps w:val="false"/>
                <w:sz w:val="24"/>
                <w:i w:val="false"/>
                <w:b w:val="false"/>
                <w:rFonts w:ascii="Times New Roman;Times;serif" w:hAnsi="Times New Roman;Times;serif"/>
              </w:rPr>
              <w:fldChar w:fldCharType="end"/>
            </w:r>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10.18†</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r>
              <w:fldChar w:fldCharType="begin"/>
            </w:r>
            <w:r>
              <w:rPr>
                <w:rStyle w:val="InternetLink"/>
                <w:smallCaps w:val="false"/>
                <w:caps w:val="false"/>
                <w:sz w:val="24"/>
                <w:i w:val="false"/>
                <w:b w:val="false"/>
                <w:rFonts w:ascii="Times New Roman;Times;serif" w:hAnsi="Times New Roman;Times;serif"/>
              </w:rPr>
              <w:instrText xml:space="preserve"> HYPERLINK "https://www.sec.gov/Archives/edgar/data/1039065/000110465923111812/tm2320263d3_def14a.htm" \l "tAAAT"</w:instrText>
            </w:r>
            <w:r>
              <w:rPr>
                <w:rStyle w:val="InternetLink"/>
                <w:smallCaps w:val="false"/>
                <w:caps w:val="false"/>
                <w:sz w:val="24"/>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4"/>
              </w:rPr>
              <w:t>Amendment to Amended and Restated OSI Systems, Inc. 2012 Incentive Award Plan (17)</w:t>
            </w:r>
            <w:r>
              <w:rPr>
                <w:rStyle w:val="InternetLink"/>
                <w:smallCaps w:val="false"/>
                <w:caps w:val="false"/>
                <w:sz w:val="24"/>
                <w:i w:val="false"/>
                <w:b w:val="false"/>
                <w:rFonts w:ascii="Times New Roman;Times;serif" w:hAnsi="Times New Roman;Times;serif"/>
              </w:rPr>
              <w:fldChar w:fldCharType="end"/>
            </w:r>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10.19†</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5">
              <w:r>
                <w:rPr>
                  <w:rStyle w:val="InternetLink"/>
                  <w:rFonts w:ascii="Times New Roman;Times;serif" w:hAnsi="Times New Roman;Times;serif"/>
                  <w:b w:val="false"/>
                  <w:i w:val="false"/>
                  <w:caps w:val="false"/>
                  <w:smallCaps w:val="false"/>
                  <w:sz w:val="24"/>
                </w:rPr>
                <w:t>Form of Restricted Stock Award Agreement (8)</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10.20†</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6">
              <w:r>
                <w:rPr>
                  <w:rStyle w:val="InternetLink"/>
                  <w:rFonts w:ascii="Times New Roman;Times;serif" w:hAnsi="Times New Roman;Times;serif"/>
                  <w:b w:val="false"/>
                  <w:i w:val="false"/>
                  <w:caps w:val="false"/>
                  <w:smallCaps w:val="false"/>
                  <w:sz w:val="24"/>
                </w:rPr>
                <w:t>Form of Restricted Stock Unit Award Agreement (8)</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10.21†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7">
              <w:r>
                <w:rPr>
                  <w:rStyle w:val="InternetLink"/>
                  <w:rFonts w:ascii="Times New Roman;Times;serif" w:hAnsi="Times New Roman;Times;serif"/>
                  <w:b w:val="false"/>
                  <w:i w:val="false"/>
                  <w:caps w:val="false"/>
                  <w:smallCaps w:val="false"/>
                  <w:sz w:val="24"/>
                </w:rPr>
                <w:t>Form of Stock Option Agreement (8)</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14.1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8">
              <w:r>
                <w:rPr>
                  <w:rStyle w:val="InternetLink"/>
                  <w:rFonts w:ascii="Times New Roman;Times;serif" w:hAnsi="Times New Roman;Times;serif"/>
                  <w:b w:val="false"/>
                  <w:i w:val="false"/>
                  <w:caps w:val="false"/>
                  <w:smallCaps w:val="false"/>
                  <w:sz w:val="24"/>
                </w:rPr>
                <w:t>OSI Systems, Inc. Code of Ethics and Conduct effective May 1, 2026 (9)</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18.1*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18d1.htm">
              <w:r>
                <w:rPr>
                  <w:rStyle w:val="InternetLink"/>
                  <w:rFonts w:ascii="Times New Roman;Times;serif" w:hAnsi="Times New Roman;Times;serif"/>
                  <w:b w:val="false"/>
                  <w:i w:val="false"/>
                  <w:caps w:val="false"/>
                  <w:smallCaps w:val="false"/>
                  <w:sz w:val="24"/>
                </w:rPr>
                <w:t>Preferability Letter of Grant Thornton LLP Regarding Change in Accounting Principle.</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19.1*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19d1.htm">
              <w:r>
                <w:rPr>
                  <w:rStyle w:val="InternetLink"/>
                  <w:rFonts w:ascii="Times New Roman;Times;serif" w:hAnsi="Times New Roman;Times;serif"/>
                  <w:b w:val="false"/>
                  <w:i w:val="false"/>
                  <w:caps w:val="false"/>
                  <w:smallCaps w:val="false"/>
                  <w:sz w:val="18"/>
                </w:rPr>
                <w:t>OSI Systems, Inc. Insider Trading Policy</w:t>
              </w:r>
            </w:hyperlink>
            <w:r>
              <w:rPr>
                <w:rFonts w:ascii="Times New Roman;Times;serif" w:hAnsi="Times New Roman;Times;serif"/>
                <w:sz w:val="18"/>
              </w:rPr>
              <w:t xml:space="preserve"> </w:t>
            </w:r>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21.1*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21d1.htm">
              <w:r>
                <w:rPr>
                  <w:rStyle w:val="InternetLink"/>
                  <w:rFonts w:ascii="Times New Roman;Times;serif" w:hAnsi="Times New Roman;Times;serif"/>
                  <w:b w:val="false"/>
                  <w:i w:val="false"/>
                  <w:caps w:val="false"/>
                  <w:smallCaps w:val="false"/>
                  <w:sz w:val="24"/>
                </w:rPr>
                <w:t>Subsidiaries of the Company</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23.1*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23d1.htm">
              <w:r>
                <w:rPr>
                  <w:rStyle w:val="InternetLink"/>
                  <w:rFonts w:ascii="Times New Roman;Times;serif" w:hAnsi="Times New Roman;Times;serif"/>
                  <w:b w:val="false"/>
                  <w:i w:val="false"/>
                  <w:caps w:val="false"/>
                  <w:smallCaps w:val="false"/>
                  <w:sz w:val="24"/>
                </w:rPr>
                <w:t>Consent of Independent Registered Public Accounting Firm</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24.1*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SIGNATURES_274602">
              <w:r>
                <w:rPr>
                  <w:rStyle w:val="InternetLink"/>
                  <w:rFonts w:ascii="Times New Roman;Times;serif" w:hAnsi="Times New Roman;Times;serif"/>
                  <w:b w:val="false"/>
                  <w:i w:val="false"/>
                  <w:caps w:val="false"/>
                  <w:smallCaps w:val="false"/>
                  <w:sz w:val="18"/>
                </w:rPr>
                <w:t>Power of Attorney (included on the signature page of this Form 10-K)</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31.1*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31d1.htm">
              <w:r>
                <w:rPr>
                  <w:rStyle w:val="InternetLink"/>
                  <w:rFonts w:ascii="Times New Roman;Times;serif" w:hAnsi="Times New Roman;Times;serif"/>
                  <w:b w:val="false"/>
                  <w:i w:val="false"/>
                  <w:caps w:val="false"/>
                  <w:smallCaps w:val="false"/>
                  <w:sz w:val="24"/>
                </w:rPr>
                <w:t>Certification Pursuant to Section 302</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31.2*</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31d2.htm">
              <w:r>
                <w:rPr>
                  <w:rStyle w:val="InternetLink"/>
                  <w:rFonts w:ascii="Times New Roman;Times;serif" w:hAnsi="Times New Roman;Times;serif"/>
                  <w:b w:val="false"/>
                  <w:i w:val="false"/>
                  <w:caps w:val="false"/>
                  <w:smallCaps w:val="false"/>
                  <w:sz w:val="24"/>
                </w:rPr>
                <w:t>Certification Pursuant to Section 302</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32.1*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32d1.htm">
              <w:r>
                <w:rPr>
                  <w:rStyle w:val="InternetLink"/>
                  <w:rFonts w:ascii="Times New Roman;Times;serif" w:hAnsi="Times New Roman;Times;serif"/>
                  <w:b w:val="false"/>
                  <w:i w:val="false"/>
                  <w:caps w:val="false"/>
                  <w:smallCaps w:val="false"/>
                  <w:sz w:val="24"/>
                </w:rPr>
                <w:t>Certification Pursuant to Section 906</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32.2*</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w:anchor="osis-20260630xex32d2.htm">
              <w:r>
                <w:rPr>
                  <w:rStyle w:val="InternetLink"/>
                  <w:rFonts w:ascii="Times New Roman;Times;serif" w:hAnsi="Times New Roman;Times;serif"/>
                  <w:b w:val="false"/>
                  <w:i w:val="false"/>
                  <w:caps w:val="false"/>
                  <w:smallCaps w:val="false"/>
                  <w:sz w:val="24"/>
                </w:rPr>
                <w:t>Certification Pursuant to Section 906</w:t>
              </w:r>
            </w:hyperlink>
          </w:p>
        </w:tc>
      </w:tr>
      <w:tr>
        <w:trPr/>
        <w:tc>
          <w:tcPr>
            <w:tcW w:w="612"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97.1</w:t>
            </w:r>
          </w:p>
        </w:tc>
        <w:tc>
          <w:tcPr>
            <w:tcW w:w="286" w:type="dxa"/>
            <w:tcBorders/>
            <w:vAlign w:val="center"/>
          </w:tcPr>
          <w:p>
            <w:pPr>
              <w:pStyle w:val="TableContents"/>
              <w:bidi w:val="0"/>
              <w:spacing w:before="0" w:after="60"/>
              <w:ind w:left="0" w:right="0" w:hanging="0"/>
              <w:jc w:val="left"/>
              <w:rPr/>
            </w:pPr>
            <w:r>
              <w:rPr/>
              <w:t>​</w:t>
            </w:r>
          </w:p>
        </w:tc>
        <w:tc>
          <w:tcPr>
            <w:tcW w:w="9307" w:type="dxa"/>
            <w:tcBorders/>
            <w:vAlign w:val="center"/>
          </w:tcPr>
          <w:p>
            <w:pPr>
              <w:pStyle w:val="TableContents"/>
              <w:bidi w:val="0"/>
              <w:spacing w:before="0" w:after="60"/>
              <w:ind w:left="0" w:right="0" w:hanging="0"/>
              <w:jc w:val="left"/>
              <w:rPr/>
            </w:pPr>
            <w:hyperlink r:id="rId29">
              <w:r>
                <w:rPr>
                  <w:rStyle w:val="InternetLink"/>
                  <w:rFonts w:ascii="Times New Roman;Times;serif" w:hAnsi="Times New Roman;Times;serif"/>
                  <w:b w:val="false"/>
                  <w:i w:val="false"/>
                  <w:caps w:val="false"/>
                  <w:smallCaps w:val="false"/>
                  <w:sz w:val="24"/>
                </w:rPr>
                <w:t>Policy for Recovery of Erroneously Awarded Compensation (19)</w:t>
              </w:r>
            </w:hyperlink>
          </w:p>
        </w:tc>
      </w:tr>
    </w:tbl>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6"/>
        <w:gridCol w:w="286"/>
        <w:gridCol w:w="9393"/>
      </w:tblGrid>
      <w:tr>
        <w:trPr/>
        <w:tc>
          <w:tcPr>
            <w:tcW w:w="5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67005" cy="29210"/>
                      <wp:effectExtent l="0" t="0" r="0" b="0"/>
                      <wp:wrapNone/>
                      <wp:docPr id="717" name="Frame715"/>
                      <a:graphic xmlns:a="http://schemas.openxmlformats.org/drawingml/2006/main">
                        <a:graphicData uri="http://schemas.microsoft.com/office/word/2010/wordprocessingShape">
                          <wps:wsp>
                            <wps:cNvSpPr txBox="1"/>
                            <wps:spPr>
                              <a:xfrm>
                                <a:off x="0" y="0"/>
                                <a:ext cx="1670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Heading"/>
              <w:bidi w:val="0"/>
              <w:spacing w:before="0" w:after="0"/>
              <w:ind w:left="0" w:right="0" w:hanging="0"/>
              <w:jc w:val="left"/>
              <w:rPr/>
            </w:pPr>
            <w:r>
              <w:rPr/>
              <w:t>​</w:t>
            </w:r>
          </w:p>
        </w:tc>
        <w:tc>
          <w:tcPr>
            <w:tcW w:w="939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981960" cy="29210"/>
                      <wp:effectExtent l="0" t="0" r="0" b="0"/>
                      <wp:wrapNone/>
                      <wp:docPr id="718" name="Frame716"/>
                      <a:graphic xmlns:a="http://schemas.openxmlformats.org/drawingml/2006/main">
                        <a:graphicData uri="http://schemas.microsoft.com/office/word/2010/wordprocessingShape">
                          <wps:wsp>
                            <wps:cNvSpPr txBox="1"/>
                            <wps:spPr>
                              <a:xfrm>
                                <a:off x="0" y="0"/>
                                <a:ext cx="2981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26" w:type="dxa"/>
            <w:tcBorders>
              <w:bottom w:val="single" w:sz="2" w:space="0" w:color="000000"/>
            </w:tcBorders>
            <w:tcMar>
              <w:bottom w:w="28" w:type="dxa"/>
            </w:tcMar>
            <w:vAlign w:val="center"/>
          </w:tcPr>
          <w:p>
            <w:pPr>
              <w:pStyle w:val="TableHeading"/>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w:t>
            </w:r>
          </w:p>
        </w:tc>
        <w:tc>
          <w:tcPr>
            <w:tcW w:w="286" w:type="dxa"/>
            <w:tcBorders/>
            <w:vAlign w:val="center"/>
          </w:tcPr>
          <w:p>
            <w:pPr>
              <w:pStyle w:val="TableHeading"/>
              <w:bidi w:val="0"/>
              <w:spacing w:before="0" w:after="0"/>
              <w:ind w:left="0" w:right="0" w:hanging="0"/>
              <w:jc w:val="left"/>
              <w:rPr/>
            </w:pPr>
            <w:r>
              <w:rPr/>
              <w:t>  ​ ​</w:t>
            </w:r>
          </w:p>
        </w:tc>
        <w:tc>
          <w:tcPr>
            <w:tcW w:w="9393"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 DESCRIPTION</w:t>
            </w:r>
          </w:p>
        </w:tc>
      </w:tr>
      <w:tr>
        <w:trPr/>
        <w:tc>
          <w:tcPr>
            <w:tcW w:w="526" w:type="dxa"/>
            <w:tcBorders>
              <w:top w:val="single" w:sz="2" w:space="0" w:color="000000"/>
            </w:tcBorders>
            <w:tcMar>
              <w:top w:w="28" w:type="dxa"/>
            </w:tcMar>
            <w:vAlign w:val="center"/>
          </w:tcPr>
          <w:p>
            <w:pPr>
              <w:pStyle w:val="TableHeading"/>
              <w:pBdr/>
              <w:bidi w:val="0"/>
              <w:spacing w:before="0" w:after="0"/>
              <w:ind w:left="0" w:right="0" w:hanging="0"/>
              <w:jc w:val="left"/>
              <w:rPr/>
            </w:pPr>
            <w:r>
              <w:rPr/>
              <w:t>​</w:t>
            </w:r>
          </w:p>
        </w:tc>
        <w:tc>
          <w:tcPr>
            <w:tcW w:w="286" w:type="dxa"/>
            <w:tcBorders/>
            <w:vAlign w:val="center"/>
          </w:tcPr>
          <w:p>
            <w:pPr>
              <w:pStyle w:val="TableHeading"/>
              <w:bidi w:val="0"/>
              <w:spacing w:before="0" w:after="0"/>
              <w:ind w:left="0" w:right="0" w:hanging="0"/>
              <w:jc w:val="left"/>
              <w:rPr/>
            </w:pPr>
            <w:r>
              <w:rPr/>
              <w:t>​</w:t>
            </w:r>
          </w:p>
        </w:tc>
        <w:tc>
          <w:tcPr>
            <w:tcW w:w="939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526"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101.1</w:t>
            </w:r>
          </w:p>
        </w:tc>
        <w:tc>
          <w:tcPr>
            <w:tcW w:w="286" w:type="dxa"/>
            <w:tcBorders/>
            <w:vAlign w:val="center"/>
          </w:tcPr>
          <w:p>
            <w:pPr>
              <w:pStyle w:val="TableContents"/>
              <w:bidi w:val="0"/>
              <w:spacing w:before="0" w:after="60"/>
              <w:ind w:left="0" w:right="0" w:hanging="0"/>
              <w:jc w:val="left"/>
              <w:rPr/>
            </w:pPr>
            <w:r>
              <w:rPr/>
              <w:t>​</w:t>
            </w:r>
          </w:p>
        </w:tc>
        <w:tc>
          <w:tcPr>
            <w:tcW w:w="9393" w:type="dxa"/>
            <w:tcBorders/>
            <w:vAlign w:val="center"/>
          </w:tcPr>
          <w:p>
            <w:pPr>
              <w:pStyle w:val="TableContents"/>
              <w:bidi w:val="0"/>
              <w:spacing w:before="0" w:after="60"/>
              <w:ind w:left="0" w:right="0" w:hanging="0"/>
              <w:jc w:val="left"/>
              <w:rPr>
                <w:rFonts w:ascii="Times New Roman;Times;serif" w:hAnsi="Times New Roman;Times;serif"/>
                <w:sz w:val="18"/>
              </w:rPr>
            </w:pPr>
            <w:r>
              <w:rPr>
                <w:rFonts w:ascii="Times New Roman;Times;serif" w:hAnsi="Times New Roman;Times;serif"/>
                <w:sz w:val="18"/>
              </w:rPr>
              <w:t>The following financial information from the Registrant’s Annual Report on Form 10-K for the year ended June 30, 2026 formatted in XBRL (eXtensible Business Reporting Language) as follows:</w:t>
            </w:r>
          </w:p>
        </w:tc>
      </w:tr>
      <w:tr>
        <w:trPr/>
        <w:tc>
          <w:tcPr>
            <w:tcW w:w="526" w:type="dxa"/>
            <w:tcBorders/>
            <w:vAlign w:val="center"/>
          </w:tcPr>
          <w:p>
            <w:pPr>
              <w:pStyle w:val="TableContents"/>
              <w:pBdr/>
              <w:bidi w:val="0"/>
              <w:spacing w:before="0" w:after="60"/>
              <w:ind w:left="0" w:right="0" w:hanging="0"/>
              <w:jc w:val="left"/>
              <w:rPr/>
            </w:pPr>
            <w:r>
              <w:rPr/>
              <w:t>​</w:t>
            </w:r>
          </w:p>
        </w:tc>
        <w:tc>
          <w:tcPr>
            <w:tcW w:w="286" w:type="dxa"/>
            <w:tcBorders/>
            <w:vAlign w:val="center"/>
          </w:tcPr>
          <w:p>
            <w:pPr>
              <w:pStyle w:val="TableContents"/>
              <w:bidi w:val="0"/>
              <w:spacing w:before="0" w:after="60"/>
              <w:ind w:left="0" w:right="0" w:hanging="0"/>
              <w:jc w:val="left"/>
              <w:rPr/>
            </w:pPr>
            <w:r>
              <w:rPr/>
              <w:t>​</w:t>
            </w:r>
          </w:p>
        </w:tc>
        <w:tc>
          <w:tcPr>
            <w:tcW w:w="9393" w:type="dxa"/>
            <w:tcBorders/>
            <w:vAlign w:val="center"/>
          </w:tcPr>
          <w:p>
            <w:pPr>
              <w:pStyle w:val="TableContents"/>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    the consolidated balance sheets</w:t>
            </w:r>
          </w:p>
        </w:tc>
      </w:tr>
      <w:tr>
        <w:trPr/>
        <w:tc>
          <w:tcPr>
            <w:tcW w:w="526" w:type="dxa"/>
            <w:tcBorders/>
            <w:vAlign w:val="center"/>
          </w:tcPr>
          <w:p>
            <w:pPr>
              <w:pStyle w:val="TableContents"/>
              <w:pBdr/>
              <w:bidi w:val="0"/>
              <w:spacing w:before="0" w:after="60"/>
              <w:ind w:left="0" w:right="0" w:hanging="0"/>
              <w:jc w:val="left"/>
              <w:rPr/>
            </w:pPr>
            <w:r>
              <w:rPr/>
              <w:t>​</w:t>
            </w:r>
          </w:p>
        </w:tc>
        <w:tc>
          <w:tcPr>
            <w:tcW w:w="286" w:type="dxa"/>
            <w:tcBorders/>
            <w:vAlign w:val="center"/>
          </w:tcPr>
          <w:p>
            <w:pPr>
              <w:pStyle w:val="TableContents"/>
              <w:bidi w:val="0"/>
              <w:spacing w:before="0" w:after="60"/>
              <w:ind w:left="0" w:right="0" w:hanging="0"/>
              <w:jc w:val="left"/>
              <w:rPr/>
            </w:pPr>
            <w:r>
              <w:rPr/>
              <w:t>​</w:t>
            </w:r>
          </w:p>
        </w:tc>
        <w:tc>
          <w:tcPr>
            <w:tcW w:w="9393" w:type="dxa"/>
            <w:tcBorders/>
            <w:vAlign w:val="center"/>
          </w:tcPr>
          <w:p>
            <w:pPr>
              <w:pStyle w:val="TableContents"/>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(ii)   the consolidated statements of operations</w:t>
            </w:r>
          </w:p>
        </w:tc>
      </w:tr>
      <w:tr>
        <w:trPr/>
        <w:tc>
          <w:tcPr>
            <w:tcW w:w="526" w:type="dxa"/>
            <w:tcBorders/>
            <w:vAlign w:val="center"/>
          </w:tcPr>
          <w:p>
            <w:pPr>
              <w:pStyle w:val="TableContents"/>
              <w:pBdr/>
              <w:bidi w:val="0"/>
              <w:spacing w:before="0" w:after="60"/>
              <w:ind w:left="0" w:right="0" w:hanging="0"/>
              <w:jc w:val="left"/>
              <w:rPr/>
            </w:pPr>
            <w:r>
              <w:rPr/>
              <w:t>​</w:t>
            </w:r>
          </w:p>
        </w:tc>
        <w:tc>
          <w:tcPr>
            <w:tcW w:w="286" w:type="dxa"/>
            <w:tcBorders/>
            <w:vAlign w:val="center"/>
          </w:tcPr>
          <w:p>
            <w:pPr>
              <w:pStyle w:val="TableContents"/>
              <w:bidi w:val="0"/>
              <w:spacing w:before="0" w:after="60"/>
              <w:ind w:left="0" w:right="0" w:hanging="0"/>
              <w:jc w:val="left"/>
              <w:rPr/>
            </w:pPr>
            <w:r>
              <w:rPr/>
              <w:t>​</w:t>
            </w:r>
          </w:p>
        </w:tc>
        <w:tc>
          <w:tcPr>
            <w:tcW w:w="9393" w:type="dxa"/>
            <w:tcBorders/>
            <w:vAlign w:val="center"/>
          </w:tcPr>
          <w:p>
            <w:pPr>
              <w:pStyle w:val="TableContents"/>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(iii)  the consolidated statements of comprehensive income</w:t>
            </w:r>
          </w:p>
        </w:tc>
      </w:tr>
      <w:tr>
        <w:trPr/>
        <w:tc>
          <w:tcPr>
            <w:tcW w:w="526" w:type="dxa"/>
            <w:tcBorders/>
            <w:vAlign w:val="center"/>
          </w:tcPr>
          <w:p>
            <w:pPr>
              <w:pStyle w:val="TableContents"/>
              <w:pBdr/>
              <w:bidi w:val="0"/>
              <w:spacing w:before="0" w:after="60"/>
              <w:ind w:left="0" w:right="0" w:hanging="0"/>
              <w:jc w:val="left"/>
              <w:rPr/>
            </w:pPr>
            <w:r>
              <w:rPr/>
              <w:t>​</w:t>
            </w:r>
          </w:p>
        </w:tc>
        <w:tc>
          <w:tcPr>
            <w:tcW w:w="286" w:type="dxa"/>
            <w:tcBorders/>
            <w:vAlign w:val="center"/>
          </w:tcPr>
          <w:p>
            <w:pPr>
              <w:pStyle w:val="TableContents"/>
              <w:bidi w:val="0"/>
              <w:spacing w:before="0" w:after="60"/>
              <w:ind w:left="0" w:right="0" w:hanging="0"/>
              <w:jc w:val="left"/>
              <w:rPr/>
            </w:pPr>
            <w:r>
              <w:rPr/>
              <w:t>​</w:t>
            </w:r>
          </w:p>
        </w:tc>
        <w:tc>
          <w:tcPr>
            <w:tcW w:w="9393" w:type="dxa"/>
            <w:tcBorders/>
            <w:vAlign w:val="center"/>
          </w:tcPr>
          <w:p>
            <w:pPr>
              <w:pStyle w:val="TableContents"/>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(iv)  the consolidated statements of stockholders’ equity</w:t>
            </w:r>
          </w:p>
        </w:tc>
      </w:tr>
      <w:tr>
        <w:trPr/>
        <w:tc>
          <w:tcPr>
            <w:tcW w:w="526" w:type="dxa"/>
            <w:tcBorders/>
            <w:vAlign w:val="center"/>
          </w:tcPr>
          <w:p>
            <w:pPr>
              <w:pStyle w:val="TableContents"/>
              <w:pBdr/>
              <w:bidi w:val="0"/>
              <w:spacing w:before="0" w:after="60"/>
              <w:ind w:left="0" w:right="0" w:hanging="0"/>
              <w:jc w:val="left"/>
              <w:rPr/>
            </w:pPr>
            <w:r>
              <w:rPr/>
              <w:t>​</w:t>
            </w:r>
          </w:p>
        </w:tc>
        <w:tc>
          <w:tcPr>
            <w:tcW w:w="286" w:type="dxa"/>
            <w:tcBorders/>
            <w:vAlign w:val="center"/>
          </w:tcPr>
          <w:p>
            <w:pPr>
              <w:pStyle w:val="TableContents"/>
              <w:bidi w:val="0"/>
              <w:spacing w:before="0" w:after="60"/>
              <w:ind w:left="0" w:right="0" w:hanging="0"/>
              <w:jc w:val="left"/>
              <w:rPr/>
            </w:pPr>
            <w:r>
              <w:rPr/>
              <w:t>​</w:t>
            </w:r>
          </w:p>
        </w:tc>
        <w:tc>
          <w:tcPr>
            <w:tcW w:w="9393" w:type="dxa"/>
            <w:tcBorders/>
            <w:vAlign w:val="center"/>
          </w:tcPr>
          <w:p>
            <w:pPr>
              <w:pStyle w:val="TableContents"/>
              <w:bidi w:val="0"/>
              <w:spacing w:before="0" w:after="60"/>
              <w:ind w:left="0" w:right="0" w:hanging="0"/>
              <w:jc w:val="left"/>
              <w:rPr>
                <w:rFonts w:ascii="Times New Roman;Times;serif" w:hAnsi="Times New Roman;Times;serif"/>
                <w:sz w:val="18"/>
              </w:rPr>
            </w:pPr>
            <w:r>
              <w:rPr>
                <w:rFonts w:ascii="Times New Roman;Times;serif" w:hAnsi="Times New Roman;Times;serif"/>
                <w:sz w:val="18"/>
              </w:rPr>
              <w:t>(v)   the consolidated statements of cash flows</w:t>
            </w:r>
          </w:p>
        </w:tc>
      </w:tr>
      <w:tr>
        <w:trPr/>
        <w:tc>
          <w:tcPr>
            <w:tcW w:w="526" w:type="dxa"/>
            <w:tcBorders/>
            <w:vAlign w:val="center"/>
          </w:tcPr>
          <w:p>
            <w:pPr>
              <w:pStyle w:val="TableContents"/>
              <w:pBdr/>
              <w:bidi w:val="0"/>
              <w:spacing w:before="0" w:after="60"/>
              <w:ind w:left="0" w:right="0" w:hanging="0"/>
              <w:jc w:val="left"/>
              <w:rPr/>
            </w:pPr>
            <w:r>
              <w:rPr/>
              <w:t>​</w:t>
            </w:r>
          </w:p>
        </w:tc>
        <w:tc>
          <w:tcPr>
            <w:tcW w:w="286" w:type="dxa"/>
            <w:tcBorders/>
            <w:vAlign w:val="center"/>
          </w:tcPr>
          <w:p>
            <w:pPr>
              <w:pStyle w:val="TableContents"/>
              <w:bidi w:val="0"/>
              <w:spacing w:before="0" w:after="60"/>
              <w:ind w:left="0" w:right="0" w:hanging="0"/>
              <w:jc w:val="left"/>
              <w:rPr/>
            </w:pPr>
            <w:r>
              <w:rPr/>
              <w:t>​</w:t>
            </w:r>
          </w:p>
        </w:tc>
        <w:tc>
          <w:tcPr>
            <w:tcW w:w="9393" w:type="dxa"/>
            <w:tcBorders/>
            <w:vAlign w:val="center"/>
          </w:tcPr>
          <w:p>
            <w:pPr>
              <w:pStyle w:val="TableContents"/>
              <w:bidi w:val="0"/>
              <w:spacing w:before="0" w:after="60"/>
              <w:ind w:left="0" w:right="0" w:hanging="0"/>
              <w:jc w:val="left"/>
              <w:rPr>
                <w:rFonts w:ascii="Times New Roman;Times;serif" w:hAnsi="Times New Roman;Times;serif"/>
                <w:sz w:val="18"/>
              </w:rPr>
            </w:pPr>
            <w:r>
              <w:rPr>
                <w:rFonts w:ascii="Times New Roman;Times;serif" w:hAnsi="Times New Roman;Times;serif"/>
                <w:sz w:val="18"/>
              </w:rPr>
              <w:t>(vi)  the notes to the consolidated financial statements, tagged in summary and detail</w:t>
            </w:r>
          </w:p>
        </w:tc>
      </w:tr>
      <w:tr>
        <w:trPr/>
        <w:tc>
          <w:tcPr>
            <w:tcW w:w="526" w:type="dxa"/>
            <w:tcBorders/>
            <w:vAlign w:val="center"/>
          </w:tcPr>
          <w:p>
            <w:pPr>
              <w:pStyle w:val="TableContents"/>
              <w:pBdr/>
              <w:bidi w:val="0"/>
              <w:spacing w:before="0" w:after="60"/>
              <w:ind w:left="0" w:right="0" w:hanging="0"/>
              <w:jc w:val="left"/>
              <w:rPr>
                <w:rFonts w:ascii="Times New Roman;Times;serif" w:hAnsi="Times New Roman;Times;serif"/>
                <w:sz w:val="18"/>
              </w:rPr>
            </w:pPr>
            <w:r>
              <w:rPr>
                <w:rFonts w:ascii="Times New Roman;Times;serif" w:hAnsi="Times New Roman;Times;serif"/>
                <w:sz w:val="18"/>
              </w:rPr>
              <w:t>104</w:t>
            </w:r>
          </w:p>
        </w:tc>
        <w:tc>
          <w:tcPr>
            <w:tcW w:w="286" w:type="dxa"/>
            <w:tcBorders/>
            <w:vAlign w:val="center"/>
          </w:tcPr>
          <w:p>
            <w:pPr>
              <w:pStyle w:val="TableContents"/>
              <w:bidi w:val="0"/>
              <w:spacing w:before="0" w:after="60"/>
              <w:ind w:left="0" w:right="0" w:hanging="0"/>
              <w:jc w:val="left"/>
              <w:rPr/>
            </w:pPr>
            <w:r>
              <w:rPr/>
              <w:t>​</w:t>
            </w:r>
          </w:p>
        </w:tc>
        <w:tc>
          <w:tcPr>
            <w:tcW w:w="9393" w:type="dxa"/>
            <w:tcBorders/>
            <w:vAlign w:val="center"/>
          </w:tcPr>
          <w:p>
            <w:pPr>
              <w:pStyle w:val="TableContents"/>
              <w:bidi w:val="0"/>
              <w:spacing w:before="0" w:after="6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with applicable taxonomy extension information contained in Exhibits 101)</w:t>
            </w:r>
          </w:p>
        </w:tc>
      </w:tr>
    </w:tbl>
    <w:tbl>
      <w:tblPr>
        <w:tblW w:w="5312" w:type="dxa"/>
        <w:jc w:val="left"/>
        <w:tblInd w:w="0" w:type="dxa"/>
        <w:tblLayout w:type="fixed"/>
        <w:tblCellMar>
          <w:top w:w="0" w:type="dxa"/>
          <w:left w:w="0" w:type="dxa"/>
          <w:bottom w:w="0" w:type="dxa"/>
          <w:right w:w="0" w:type="dxa"/>
        </w:tblCellMar>
      </w:tblPr>
      <w:tblGrid>
        <w:gridCol w:w="241"/>
        <w:gridCol w:w="5071"/>
      </w:tblGrid>
      <w:tr>
        <w:trPr/>
        <w:tc>
          <w:tcPr>
            <w:tcW w:w="241" w:type="dxa"/>
            <w:tcBorders/>
            <w:vAlign w:val="center"/>
          </w:tcPr>
          <w:p>
            <w:pPr>
              <w:pStyle w:val="TableContents"/>
              <w:bidi w:val="0"/>
              <w:spacing w:before="0" w:after="240"/>
              <w:jc w:val="left"/>
              <w:rPr/>
            </w:pPr>
            <w:r>
              <w:rPr/>
              <w:t>†</w:t>
            </w:r>
          </w:p>
        </w:tc>
        <w:tc>
          <w:tcPr>
            <w:tcW w:w="507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Denotes a management contract or compensatory plan or arrangement.</w:t>
            </w:r>
          </w:p>
        </w:tc>
      </w:tr>
    </w:tbl>
    <w:tbl>
      <w:tblPr>
        <w:tblW w:w="1397" w:type="dxa"/>
        <w:jc w:val="left"/>
        <w:tblInd w:w="0" w:type="dxa"/>
        <w:tblLayout w:type="fixed"/>
        <w:tblCellMar>
          <w:top w:w="0" w:type="dxa"/>
          <w:left w:w="0" w:type="dxa"/>
          <w:bottom w:w="0" w:type="dxa"/>
          <w:right w:w="0" w:type="dxa"/>
        </w:tblCellMar>
      </w:tblPr>
      <w:tblGrid>
        <w:gridCol w:w="211"/>
        <w:gridCol w:w="1186"/>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1186"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Filed herewith.</w:t>
            </w:r>
          </w:p>
        </w:tc>
      </w:tr>
    </w:tbl>
    <w:tbl>
      <w:tblPr>
        <w:tblW w:w="5957" w:type="dxa"/>
        <w:jc w:val="left"/>
        <w:tblInd w:w="0" w:type="dxa"/>
        <w:tblLayout w:type="fixed"/>
        <w:tblCellMar>
          <w:top w:w="0" w:type="dxa"/>
          <w:left w:w="0" w:type="dxa"/>
          <w:bottom w:w="0" w:type="dxa"/>
          <w:right w:w="0" w:type="dxa"/>
        </w:tblCellMar>
      </w:tblPr>
      <w:tblGrid>
        <w:gridCol w:w="331"/>
        <w:gridCol w:w="562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56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Current Report on Form 8-K filed on March 8, 2010.</w:t>
            </w:r>
          </w:p>
        </w:tc>
      </w:tr>
    </w:tbl>
    <w:tbl>
      <w:tblPr>
        <w:tblW w:w="6362" w:type="dxa"/>
        <w:jc w:val="left"/>
        <w:tblInd w:w="0" w:type="dxa"/>
        <w:tblLayout w:type="fixed"/>
        <w:tblCellMar>
          <w:top w:w="0" w:type="dxa"/>
          <w:left w:w="0" w:type="dxa"/>
          <w:bottom w:w="0" w:type="dxa"/>
          <w:right w:w="0" w:type="dxa"/>
        </w:tblCellMar>
      </w:tblPr>
      <w:tblGrid>
        <w:gridCol w:w="331"/>
        <w:gridCol w:w="603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Quarterly Report on Form 10-Q filed on January 26, 2024.</w:t>
            </w:r>
          </w:p>
        </w:tc>
      </w:tr>
    </w:tbl>
    <w:tbl>
      <w:tblPr>
        <w:tblW w:w="6152" w:type="dxa"/>
        <w:jc w:val="left"/>
        <w:tblInd w:w="0" w:type="dxa"/>
        <w:tblLayout w:type="fixed"/>
        <w:tblCellMar>
          <w:top w:w="0" w:type="dxa"/>
          <w:left w:w="0" w:type="dxa"/>
          <w:bottom w:w="0" w:type="dxa"/>
          <w:right w:w="0" w:type="dxa"/>
        </w:tblCellMar>
      </w:tblPr>
      <w:tblGrid>
        <w:gridCol w:w="331"/>
        <w:gridCol w:w="582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5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Current Report on Form 8-K filed on October 10, 2008.</w:t>
            </w:r>
          </w:p>
        </w:tc>
      </w:tr>
    </w:tbl>
    <w:tbl>
      <w:tblPr>
        <w:tblW w:w="6377" w:type="dxa"/>
        <w:jc w:val="left"/>
        <w:tblInd w:w="0" w:type="dxa"/>
        <w:tblLayout w:type="fixed"/>
        <w:tblCellMar>
          <w:top w:w="0" w:type="dxa"/>
          <w:left w:w="0" w:type="dxa"/>
          <w:bottom w:w="0" w:type="dxa"/>
          <w:right w:w="0" w:type="dxa"/>
        </w:tblCellMar>
      </w:tblPr>
      <w:tblGrid>
        <w:gridCol w:w="331"/>
        <w:gridCol w:w="60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6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Quarterly Report on Form 10-Q filed on October 24, 2014.</w:t>
            </w:r>
          </w:p>
        </w:tc>
      </w:tr>
    </w:tbl>
    <w:tbl>
      <w:tblPr>
        <w:tblW w:w="6167" w:type="dxa"/>
        <w:jc w:val="left"/>
        <w:tblInd w:w="0" w:type="dxa"/>
        <w:tblLayout w:type="fixed"/>
        <w:tblCellMar>
          <w:top w:w="0" w:type="dxa"/>
          <w:left w:w="0" w:type="dxa"/>
          <w:bottom w:w="0" w:type="dxa"/>
          <w:right w:w="0" w:type="dxa"/>
        </w:tblCellMar>
      </w:tblPr>
      <w:tblGrid>
        <w:gridCol w:w="331"/>
        <w:gridCol w:w="583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5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Annual Report on Form 10-K filed on August 27, 2010.</w:t>
            </w:r>
          </w:p>
        </w:tc>
      </w:tr>
    </w:tbl>
    <w:tbl>
      <w:tblPr>
        <w:tblW w:w="6047" w:type="dxa"/>
        <w:jc w:val="left"/>
        <w:tblInd w:w="0" w:type="dxa"/>
        <w:tblLayout w:type="fixed"/>
        <w:tblCellMar>
          <w:top w:w="0" w:type="dxa"/>
          <w:left w:w="0" w:type="dxa"/>
          <w:bottom w:w="0" w:type="dxa"/>
          <w:right w:w="0" w:type="dxa"/>
        </w:tblCellMar>
      </w:tblPr>
      <w:tblGrid>
        <w:gridCol w:w="331"/>
        <w:gridCol w:w="571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Current Report on Form 8-K filed on January 5, 2018.</w:t>
            </w:r>
          </w:p>
        </w:tc>
      </w:tr>
    </w:tbl>
    <w:tbl>
      <w:tblPr>
        <w:tblW w:w="6542" w:type="dxa"/>
        <w:jc w:val="left"/>
        <w:tblInd w:w="0" w:type="dxa"/>
        <w:tblLayout w:type="fixed"/>
        <w:tblCellMar>
          <w:top w:w="0" w:type="dxa"/>
          <w:left w:w="0" w:type="dxa"/>
          <w:bottom w:w="0" w:type="dxa"/>
          <w:right w:w="0" w:type="dxa"/>
        </w:tblCellMar>
      </w:tblPr>
      <w:tblGrid>
        <w:gridCol w:w="331"/>
        <w:gridCol w:w="62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6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Proxy Statement on Schedule 14A filed on October 21, 2020.</w:t>
            </w:r>
          </w:p>
        </w:tc>
      </w:tr>
    </w:tbl>
    <w:tbl>
      <w:tblPr>
        <w:tblW w:w="6572" w:type="dxa"/>
        <w:jc w:val="left"/>
        <w:tblInd w:w="0" w:type="dxa"/>
        <w:tblLayout w:type="fixed"/>
        <w:tblCellMar>
          <w:top w:w="0" w:type="dxa"/>
          <w:left w:w="0" w:type="dxa"/>
          <w:bottom w:w="0" w:type="dxa"/>
          <w:right w:w="0" w:type="dxa"/>
        </w:tblCellMar>
      </w:tblPr>
      <w:tblGrid>
        <w:gridCol w:w="331"/>
        <w:gridCol w:w="62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w:t>
            </w:r>
          </w:p>
        </w:tc>
        <w:tc>
          <w:tcPr>
            <w:tcW w:w="6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Registration Statement on Form S-8 filed on August 16, 2013.</w:t>
            </w:r>
          </w:p>
        </w:tc>
      </w:tr>
    </w:tbl>
    <w:tbl>
      <w:tblPr>
        <w:tblW w:w="6047" w:type="dxa"/>
        <w:jc w:val="left"/>
        <w:tblInd w:w="0" w:type="dxa"/>
        <w:tblLayout w:type="fixed"/>
        <w:tblCellMar>
          <w:top w:w="0" w:type="dxa"/>
          <w:left w:w="0" w:type="dxa"/>
          <w:bottom w:w="0" w:type="dxa"/>
          <w:right w:w="0" w:type="dxa"/>
        </w:tblCellMar>
      </w:tblPr>
      <w:tblGrid>
        <w:gridCol w:w="331"/>
        <w:gridCol w:w="571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Quarterly Report on Form 10-Q filed on May 4, 2026.</w:t>
            </w:r>
          </w:p>
        </w:tc>
      </w:tr>
    </w:tbl>
    <w:tbl>
      <w:tblPr>
        <w:tblW w:w="6272" w:type="dxa"/>
        <w:jc w:val="left"/>
        <w:tblInd w:w="0" w:type="dxa"/>
        <w:tblLayout w:type="fixed"/>
        <w:tblCellMar>
          <w:top w:w="0" w:type="dxa"/>
          <w:left w:w="0" w:type="dxa"/>
          <w:bottom w:w="0" w:type="dxa"/>
          <w:right w:w="0" w:type="dxa"/>
        </w:tblCellMar>
      </w:tblPr>
      <w:tblGrid>
        <w:gridCol w:w="421"/>
        <w:gridCol w:w="5851"/>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(10)</w:t>
            </w:r>
          </w:p>
        </w:tc>
        <w:tc>
          <w:tcPr>
            <w:tcW w:w="5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Quarterly Report on Form 10-Q filed on April 30, 2024.</w:t>
            </w:r>
          </w:p>
        </w:tc>
      </w:tr>
    </w:tbl>
    <w:tbl>
      <w:tblPr>
        <w:tblW w:w="5972" w:type="dxa"/>
        <w:jc w:val="left"/>
        <w:tblInd w:w="0" w:type="dxa"/>
        <w:tblLayout w:type="fixed"/>
        <w:tblCellMar>
          <w:top w:w="0" w:type="dxa"/>
          <w:left w:w="0" w:type="dxa"/>
          <w:bottom w:w="0" w:type="dxa"/>
          <w:right w:w="0" w:type="dxa"/>
        </w:tblCellMar>
      </w:tblPr>
      <w:tblGrid>
        <w:gridCol w:w="421"/>
        <w:gridCol w:w="5551"/>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(11)</w:t>
            </w:r>
          </w:p>
        </w:tc>
        <w:tc>
          <w:tcPr>
            <w:tcW w:w="5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Current Report on Form 8-K filed on July 19, 2024.</w:t>
            </w:r>
          </w:p>
        </w:tc>
      </w:tr>
    </w:tbl>
    <w:tbl>
      <w:tblPr>
        <w:tblW w:w="6632" w:type="dxa"/>
        <w:jc w:val="left"/>
        <w:tblInd w:w="0" w:type="dxa"/>
        <w:tblLayout w:type="fixed"/>
        <w:tblCellMar>
          <w:top w:w="0" w:type="dxa"/>
          <w:left w:w="0" w:type="dxa"/>
          <w:bottom w:w="0" w:type="dxa"/>
          <w:right w:w="0" w:type="dxa"/>
        </w:tblCellMar>
      </w:tblPr>
      <w:tblGrid>
        <w:gridCol w:w="421"/>
        <w:gridCol w:w="6211"/>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(12)</w:t>
            </w:r>
          </w:p>
        </w:tc>
        <w:tc>
          <w:tcPr>
            <w:tcW w:w="6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Proxy Statement on Schedule 14A filed on October 21, 2016.</w:t>
            </w:r>
          </w:p>
        </w:tc>
      </w:tr>
    </w:tbl>
    <w:tbl>
      <w:tblPr>
        <w:tblW w:w="6257" w:type="dxa"/>
        <w:jc w:val="left"/>
        <w:tblInd w:w="0" w:type="dxa"/>
        <w:tblLayout w:type="fixed"/>
        <w:tblCellMar>
          <w:top w:w="0" w:type="dxa"/>
          <w:left w:w="0" w:type="dxa"/>
          <w:bottom w:w="0" w:type="dxa"/>
          <w:right w:w="0" w:type="dxa"/>
        </w:tblCellMar>
      </w:tblPr>
      <w:tblGrid>
        <w:gridCol w:w="421"/>
        <w:gridCol w:w="5836"/>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(13)</w:t>
            </w:r>
          </w:p>
        </w:tc>
        <w:tc>
          <w:tcPr>
            <w:tcW w:w="5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Annual Report on Form 10-K filed on August 21, 2020.</w:t>
            </w:r>
          </w:p>
        </w:tc>
      </w:tr>
    </w:tbl>
    <w:tbl>
      <w:tblPr>
        <w:tblW w:w="6467" w:type="dxa"/>
        <w:jc w:val="left"/>
        <w:tblInd w:w="0" w:type="dxa"/>
        <w:tblLayout w:type="fixed"/>
        <w:tblCellMar>
          <w:top w:w="0" w:type="dxa"/>
          <w:left w:w="0" w:type="dxa"/>
          <w:bottom w:w="0" w:type="dxa"/>
          <w:right w:w="0" w:type="dxa"/>
        </w:tblCellMar>
      </w:tblPr>
      <w:tblGrid>
        <w:gridCol w:w="421"/>
        <w:gridCol w:w="6046"/>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(14)</w:t>
            </w:r>
          </w:p>
        </w:tc>
        <w:tc>
          <w:tcPr>
            <w:tcW w:w="6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Quarterly Report on Form 10-Q filed on October 29, 2021.</w:t>
            </w:r>
          </w:p>
        </w:tc>
      </w:tr>
    </w:tbl>
    <w:tbl>
      <w:tblPr>
        <w:tblW w:w="5882" w:type="dxa"/>
        <w:jc w:val="left"/>
        <w:tblInd w:w="0" w:type="dxa"/>
        <w:tblLayout w:type="fixed"/>
        <w:tblCellMar>
          <w:top w:w="0" w:type="dxa"/>
          <w:left w:w="0" w:type="dxa"/>
          <w:bottom w:w="0" w:type="dxa"/>
          <w:right w:w="0" w:type="dxa"/>
        </w:tblCellMar>
      </w:tblPr>
      <w:tblGrid>
        <w:gridCol w:w="421"/>
        <w:gridCol w:w="5461"/>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(15)</w:t>
            </w:r>
          </w:p>
        </w:tc>
        <w:tc>
          <w:tcPr>
            <w:tcW w:w="5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Current Report on Form 8-K filed on July 2, 2025.</w:t>
            </w:r>
          </w:p>
        </w:tc>
      </w:tr>
    </w:tbl>
    <w:tbl>
      <w:tblPr>
        <w:tblW w:w="6452" w:type="dxa"/>
        <w:jc w:val="left"/>
        <w:tblInd w:w="0" w:type="dxa"/>
        <w:tblLayout w:type="fixed"/>
        <w:tblCellMar>
          <w:top w:w="0" w:type="dxa"/>
          <w:left w:w="0" w:type="dxa"/>
          <w:bottom w:w="0" w:type="dxa"/>
          <w:right w:w="0" w:type="dxa"/>
        </w:tblCellMar>
      </w:tblPr>
      <w:tblGrid>
        <w:gridCol w:w="421"/>
        <w:gridCol w:w="6031"/>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(16)</w:t>
            </w:r>
          </w:p>
        </w:tc>
        <w:tc>
          <w:tcPr>
            <w:tcW w:w="6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Quarterly Report on Form 10-Q filed on January 27, 2023.</w:t>
            </w:r>
          </w:p>
        </w:tc>
      </w:tr>
    </w:tbl>
    <w:tbl>
      <w:tblPr>
        <w:tblW w:w="6632" w:type="dxa"/>
        <w:jc w:val="left"/>
        <w:tblInd w:w="0" w:type="dxa"/>
        <w:tblLayout w:type="fixed"/>
        <w:tblCellMar>
          <w:top w:w="0" w:type="dxa"/>
          <w:left w:w="0" w:type="dxa"/>
          <w:bottom w:w="0" w:type="dxa"/>
          <w:right w:w="0" w:type="dxa"/>
        </w:tblCellMar>
      </w:tblPr>
      <w:tblGrid>
        <w:gridCol w:w="421"/>
        <w:gridCol w:w="6211"/>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(17)</w:t>
            </w:r>
          </w:p>
        </w:tc>
        <w:tc>
          <w:tcPr>
            <w:tcW w:w="6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Proxy Statement on Schedule 14A filed on October 27, 2023.</w:t>
            </w:r>
          </w:p>
        </w:tc>
      </w:tr>
    </w:tbl>
    <w:tbl>
      <w:tblPr>
        <w:tblW w:w="6392" w:type="dxa"/>
        <w:jc w:val="left"/>
        <w:tblInd w:w="0" w:type="dxa"/>
        <w:tblLayout w:type="fixed"/>
        <w:tblCellMar>
          <w:top w:w="0" w:type="dxa"/>
          <w:left w:w="0" w:type="dxa"/>
          <w:bottom w:w="0" w:type="dxa"/>
          <w:right w:w="0" w:type="dxa"/>
        </w:tblCellMar>
      </w:tblPr>
      <w:tblGrid>
        <w:gridCol w:w="421"/>
        <w:gridCol w:w="5971"/>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(18)</w:t>
            </w:r>
          </w:p>
        </w:tc>
        <w:tc>
          <w:tcPr>
            <w:tcW w:w="5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Current Report on Form 8-K filed on December 13, 2024.</w:t>
            </w:r>
          </w:p>
        </w:tc>
      </w:tr>
    </w:tbl>
    <w:tbl>
      <w:tblPr>
        <w:tblW w:w="6257" w:type="dxa"/>
        <w:jc w:val="left"/>
        <w:tblInd w:w="0" w:type="dxa"/>
        <w:tblLayout w:type="fixed"/>
        <w:tblCellMar>
          <w:top w:w="0" w:type="dxa"/>
          <w:left w:w="0" w:type="dxa"/>
          <w:bottom w:w="0" w:type="dxa"/>
          <w:right w:w="0" w:type="dxa"/>
        </w:tblCellMar>
      </w:tblPr>
      <w:tblGrid>
        <w:gridCol w:w="421"/>
        <w:gridCol w:w="5836"/>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(19)</w:t>
            </w:r>
          </w:p>
        </w:tc>
        <w:tc>
          <w:tcPr>
            <w:tcW w:w="5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Annual Report on Form 10-K filed on August 29, 2024.</w:t>
            </w:r>
          </w:p>
        </w:tc>
      </w:tr>
    </w:tbl>
    <w:tbl>
      <w:tblPr>
        <w:tblW w:w="6422" w:type="dxa"/>
        <w:jc w:val="left"/>
        <w:tblInd w:w="0" w:type="dxa"/>
        <w:tblLayout w:type="fixed"/>
        <w:tblCellMar>
          <w:top w:w="0" w:type="dxa"/>
          <w:left w:w="0" w:type="dxa"/>
          <w:bottom w:w="0" w:type="dxa"/>
          <w:right w:w="0" w:type="dxa"/>
        </w:tblCellMar>
      </w:tblPr>
      <w:tblGrid>
        <w:gridCol w:w="421"/>
        <w:gridCol w:w="6001"/>
      </w:tblGrid>
      <w:tr>
        <w:trPr/>
        <w:tc>
          <w:tcPr>
            <w:tcW w:w="4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(20)</w:t>
            </w:r>
          </w:p>
        </w:tc>
        <w:tc>
          <w:tcPr>
            <w:tcW w:w="60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Previously filed with our Current Report on Form 8-K filed on November 20, 2025.</w:t>
            </w:r>
          </w:p>
        </w:tc>
      </w:tr>
    </w:tbl>
    <w:p>
      <w:pPr>
        <w:pStyle w:val="TextBody"/>
        <w:bidi w:val="0"/>
        <w:spacing w:lineRule="auto" w:line="304"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67" w:name="SIGNATURES_274602"/>
      <w:bookmarkStart w:id="2368" w:name="_6de08b82_2a98_415a_82eb_a90442ef7aac"/>
      <w:bookmarkEnd w:id="2367"/>
      <w:bookmarkEnd w:id="2368"/>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8080" w:type="dxa"/>
        <w:jc w:val="left"/>
        <w:tblInd w:w="0" w:type="dxa"/>
        <w:tblLayout w:type="fixed"/>
        <w:tblCellMar>
          <w:top w:w="0" w:type="dxa"/>
          <w:left w:w="0" w:type="dxa"/>
          <w:bottom w:w="0" w:type="dxa"/>
          <w:right w:w="0" w:type="dxa"/>
        </w:tblCellMar>
      </w:tblPr>
      <w:tblGrid>
        <w:gridCol w:w="1951"/>
        <w:gridCol w:w="1674"/>
        <w:gridCol w:w="1640"/>
        <w:gridCol w:w="2815"/>
      </w:tblGrid>
      <w:tr>
        <w:trPr/>
        <w:tc>
          <w:tcPr>
            <w:tcW w:w="1951" w:type="dxa"/>
            <w:tcBorders/>
            <w:vAlign w:val="center"/>
          </w:tcPr>
          <w:p>
            <w:pPr>
              <w:pStyle w:val="TableContents"/>
              <w:pBdr/>
              <w:bidi w:val="0"/>
              <w:spacing w:before="0" w:after="0"/>
              <w:ind w:left="0" w:right="0" w:hanging="0"/>
              <w:jc w:val="left"/>
              <w:rPr/>
            </w:pPr>
            <w:r>
              <w:rPr/>
              <w:t>​</w:t>
            </w:r>
          </w:p>
        </w:tc>
        <w:tc>
          <w:tcPr>
            <w:tcW w:w="331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SYSTEMS, INC.</w:t>
              <w:br/>
              <w:t>(Registrant)</w:t>
            </w:r>
          </w:p>
        </w:tc>
        <w:tc>
          <w:tcPr>
            <w:tcW w:w="2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pBdr/>
              <w:bidi w:val="0"/>
              <w:spacing w:before="0" w:after="0"/>
              <w:ind w:left="0" w:right="0" w:hanging="0"/>
              <w:jc w:val="left"/>
              <w:rPr/>
            </w:pPr>
            <w:r>
              <w:rPr/>
              <w:t>​</w:t>
            </w:r>
          </w:p>
        </w:tc>
        <w:tc>
          <w:tcPr>
            <w:tcW w:w="3314" w:type="dxa"/>
            <w:gridSpan w:val="2"/>
            <w:tcBorders/>
            <w:vAlign w:val="center"/>
          </w:tcPr>
          <w:p>
            <w:pPr>
              <w:pStyle w:val="TableContents"/>
              <w:bidi w:val="0"/>
              <w:spacing w:before="0" w:after="0"/>
              <w:ind w:left="0" w:right="0" w:hanging="0"/>
              <w:jc w:val="left"/>
              <w:rPr/>
            </w:pPr>
            <w:r>
              <w:rPr/>
              <w:t>  ​</w:t>
            </w:r>
          </w:p>
        </w:tc>
        <w:tc>
          <w:tcPr>
            <w:tcW w:w="2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21, 2026</w:t>
            </w:r>
          </w:p>
        </w:tc>
        <w:tc>
          <w:tcPr>
            <w:tcW w:w="1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55" w:type="dxa"/>
            <w:gridSpan w:val="2"/>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ALAN EDRICK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Alan Edrick,</w:t>
            </w:r>
            <w:r>
              <w:rPr>
                <w:rFonts w:ascii="Times New Roman;Times;serif" w:hAnsi="Times New Roman;Times;serif"/>
                <w:sz w:val="20"/>
              </w:rPr>
              <w:br/>
            </w:r>
            <w:r>
              <w:rPr>
                <w:rFonts w:ascii="Times New Roman;Times;serif" w:hAnsi="Times New Roman;Times;serif"/>
                <w:b/>
                <w:sz w:val="20"/>
              </w:rPr>
              <w:t>Executive Vice President &amp; 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69" w:name="POWEROFATTORNEY_440624"/>
      <w:bookmarkEnd w:id="2369"/>
      <w:r>
        <w:rPr>
          <w:rFonts w:ascii="Times New Roman;Times;serif" w:hAnsi="Times New Roman;Times;serif"/>
          <w:b/>
          <w:sz w:val="20"/>
        </w:rPr>
        <w:t>POWER OF ATTORNEY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KNOW ALL PERSONS BY THESE PRESENTS, that each person whose signature appears below does hereby constitute and appoint Ajay Mehra, Alan Edrick and Victor Sze, and each of them singly, our true and lawful attorneys with full power to them, and each of them singly, to sign for us and in our names in the capacities indicated below, the Form 10-K filed herewith and any and all amendments to said Form 10-K, and generally to do all such things in our names and in our capacities as officers and directors to enable OSI Systems, Inc. to comply with the provisions of the Securities Exchange Act of 1934, as amended, and all requirements of the Securities and Exchange Commission in connection therewith, hereby ratifying and confirming our signatures as they may be signed by our said attorneys, or any of them, to said Form 10-K and any and all amendments thereto.</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both"/>
        <w:rPr/>
      </w:pPr>
      <w:r>
        <w:rPr/>
        <w:t>​</w:t>
      </w:r>
    </w:p>
    <w:tbl>
      <w:tblPr>
        <w:tblW w:w="8627" w:type="dxa"/>
        <w:jc w:val="left"/>
        <w:tblInd w:w="0" w:type="dxa"/>
        <w:tblLayout w:type="fixed"/>
        <w:tblCellMar>
          <w:top w:w="0" w:type="dxa"/>
          <w:left w:w="0" w:type="dxa"/>
          <w:bottom w:w="0" w:type="dxa"/>
          <w:right w:w="0" w:type="dxa"/>
        </w:tblCellMar>
      </w:tblPr>
      <w:tblGrid>
        <w:gridCol w:w="2821"/>
        <w:gridCol w:w="346"/>
        <w:gridCol w:w="3346"/>
        <w:gridCol w:w="286"/>
        <w:gridCol w:w="1456"/>
        <w:gridCol w:w="109"/>
        <w:gridCol w:w="109"/>
        <w:gridCol w:w="154"/>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1791335" cy="29210"/>
                      <wp:effectExtent l="0" t="0" r="0" b="0"/>
                      <wp:wrapNone/>
                      <wp:docPr id="719" name="Frame717"/>
                      <a:graphic xmlns:a="http://schemas.openxmlformats.org/drawingml/2006/main">
                        <a:graphicData uri="http://schemas.microsoft.com/office/word/2010/wordprocessingShape">
                          <wps:wsp>
                            <wps:cNvSpPr txBox="1"/>
                            <wps:spPr>
                              <a:xfrm>
                                <a:off x="0" y="0"/>
                                <a:ext cx="1791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124710" cy="29210"/>
                      <wp:effectExtent l="0" t="0" r="0" b="0"/>
                      <wp:wrapNone/>
                      <wp:docPr id="720" name="Frame718"/>
                      <a:graphic xmlns:a="http://schemas.openxmlformats.org/drawingml/2006/main">
                        <a:graphicData uri="http://schemas.microsoft.com/office/word/2010/wordprocessingShape">
                          <wps:wsp>
                            <wps:cNvSpPr txBox="1"/>
                            <wps:spPr>
                              <a:xfrm>
                                <a:off x="0" y="0"/>
                                <a:ext cx="2124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924560" cy="29210"/>
                      <wp:effectExtent l="0" t="0" r="0" b="0"/>
                      <wp:wrapNone/>
                      <wp:docPr id="721" name="Frame719"/>
                      <a:graphic xmlns:a="http://schemas.openxmlformats.org/drawingml/2006/main">
                        <a:graphicData uri="http://schemas.microsoft.com/office/word/2010/wordprocessingShape">
                          <wps:wsp>
                            <wps:cNvSpPr txBox="1"/>
                            <wps:spPr>
                              <a:xfrm>
                                <a:off x="0" y="0"/>
                                <a:ext cx="924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346" w:type="dxa"/>
            <w:tcBorders/>
            <w:vAlign w:val="center"/>
          </w:tcPr>
          <w:p>
            <w:pPr>
              <w:pStyle w:val="TableContents"/>
              <w:bidi w:val="0"/>
              <w:spacing w:before="0" w:after="20"/>
              <w:ind w:left="0" w:right="0" w:hanging="0"/>
              <w:jc w:val="center"/>
              <w:rPr/>
            </w:pPr>
            <w:r>
              <w:rPr/>
              <w:t>  ​ ​ ​</w:t>
            </w:r>
          </w:p>
        </w:tc>
        <w:tc>
          <w:tcPr>
            <w:tcW w:w="3346"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286" w:type="dxa"/>
            <w:tcBorders/>
            <w:vAlign w:val="center"/>
          </w:tcPr>
          <w:p>
            <w:pPr>
              <w:pStyle w:val="TableContents"/>
              <w:bidi w:val="0"/>
              <w:spacing w:before="0" w:after="20"/>
              <w:ind w:left="0" w:right="0" w:hanging="0"/>
              <w:jc w:val="center"/>
              <w:rPr/>
            </w:pPr>
            <w:r>
              <w:rPr/>
              <w:t>  ​ ​</w:t>
            </w:r>
          </w:p>
        </w:tc>
        <w:tc>
          <w:tcPr>
            <w:tcW w:w="1456"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AJAY MEHRA</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Ajay Mehra</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br/>
              <w:t>    President and Chief Executive Officer</w:t>
              <w:br/>
              <w:t>    (Principal Executive Officer)</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21, 2026</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DEEPAK CHOPRA</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Deepak Chopra</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21, 2026</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ALAN EDRICK</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Alan Edrick</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w:t>
              <w:br/>
              <w:t>   Financial Officer (Principal</w:t>
              <w:br/>
              <w:t>   Financial Officer)</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21, 2026</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CARY OKAWA</w:t>
            </w:r>
          </w:p>
        </w:tc>
        <w:tc>
          <w:tcPr>
            <w:tcW w:w="346" w:type="dxa"/>
            <w:tcBorders/>
            <w:vAlign w:val="center"/>
          </w:tcPr>
          <w:p>
            <w:pPr>
              <w:pStyle w:val="TableContents"/>
              <w:bidi w:val="0"/>
              <w:spacing w:before="0" w:after="0"/>
              <w:ind w:left="0" w:right="0" w:hanging="0"/>
              <w:jc w:val="left"/>
              <w:rPr/>
            </w:pPr>
            <w:r>
              <w:rPr/>
              <w:t>​</w:t>
            </w:r>
          </w:p>
        </w:tc>
        <w:tc>
          <w:tcPr>
            <w:tcW w:w="3346" w:type="dxa"/>
            <w:vMerge w:val="restart"/>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Chief Accounting Officer (Principal</w:t>
              <w:br/>
              <w:t>    Accounting Officer)</w:t>
            </w:r>
          </w:p>
        </w:tc>
        <w:tc>
          <w:tcPr>
            <w:tcW w:w="286" w:type="dxa"/>
            <w:vMerge w:val="restart"/>
            <w:tcBorders/>
            <w:vAlign w:val="center"/>
          </w:tcPr>
          <w:p>
            <w:pPr>
              <w:pStyle w:val="TableContents"/>
              <w:bidi w:val="0"/>
              <w:spacing w:before="0" w:after="0"/>
              <w:ind w:left="0" w:right="0" w:hanging="0"/>
              <w:jc w:val="center"/>
              <w:rPr>
                <w:caps w:val="false"/>
                <w:smallCaps w:val="false"/>
                <w:color w:val="000000"/>
              </w:rPr>
            </w:pPr>
            <w:r>
              <w:rPr>
                <w:caps w:val="false"/>
                <w:smallCaps w:val="false"/>
                <w:color w:val="000000"/>
              </w:rPr>
              <w:t>​</w:t>
            </w:r>
          </w:p>
        </w:tc>
        <w:tc>
          <w:tcPr>
            <w:tcW w:w="1456"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August 21, 2026</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Cary Okawa</w:t>
            </w:r>
          </w:p>
        </w:tc>
        <w:tc>
          <w:tcPr>
            <w:tcW w:w="346" w:type="dxa"/>
            <w:tcBorders/>
            <w:vAlign w:val="center"/>
          </w:tcPr>
          <w:p>
            <w:pPr>
              <w:pStyle w:val="TableContents"/>
              <w:bidi w:val="0"/>
              <w:spacing w:before="0" w:after="0"/>
              <w:ind w:left="0" w:right="0" w:hanging="0"/>
              <w:jc w:val="left"/>
              <w:rPr/>
            </w:pPr>
            <w:r>
              <w:rPr/>
              <w:t>​</w:t>
            </w:r>
          </w:p>
        </w:tc>
        <w:tc>
          <w:tcPr>
            <w:tcW w:w="3346" w:type="dxa"/>
            <w:vMerge w:val="continue"/>
            <w:tcBorders/>
            <w:vAlign w:val="center"/>
          </w:tcPr>
          <w:p>
            <w:pPr>
              <w:pStyle w:val="Normal"/>
              <w:bidi w:val="0"/>
              <w:jc w:val="left"/>
              <w:rPr/>
            </w:pPr>
            <w:r>
              <w:rPr/>
            </w:r>
          </w:p>
        </w:tc>
        <w:tc>
          <w:tcPr>
            <w:tcW w:w="286" w:type="dxa"/>
            <w:vMerge w:val="continue"/>
            <w:tcBorders/>
            <w:vAlign w:val="center"/>
          </w:tcPr>
          <w:p>
            <w:pPr>
              <w:pStyle w:val="Normal"/>
              <w:bidi w:val="0"/>
              <w:jc w:val="left"/>
              <w:rPr/>
            </w:pPr>
            <w:r>
              <w:rPr/>
            </w:r>
          </w:p>
        </w:tc>
        <w:tc>
          <w:tcPr>
            <w:tcW w:w="145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372"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WILLIAM F. BALLHAUS, JR.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William F. Ballhaus, Jr.</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21, 2026</w:t>
            </w:r>
          </w:p>
        </w:tc>
        <w:tc>
          <w:tcPr>
            <w:tcW w:w="372"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372"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KELLI BERNARD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Kelli Bernard</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21, 2026</w:t>
            </w:r>
          </w:p>
        </w:tc>
        <w:tc>
          <w:tcPr>
            <w:tcW w:w="372"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372"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GERALD CHIZEVER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Gerald Chizever</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21, 2026</w:t>
            </w:r>
          </w:p>
        </w:tc>
        <w:tc>
          <w:tcPr>
            <w:tcW w:w="372"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372"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JAMES B. HAWKINS</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James B. Hawkins</w:t>
            </w:r>
          </w:p>
        </w:tc>
        <w:tc>
          <w:tcPr>
            <w:tcW w:w="346" w:type="dxa"/>
            <w:tcBorders/>
            <w:vAlign w:val="center"/>
          </w:tcPr>
          <w:p>
            <w:pPr>
              <w:pStyle w:val="TableContents"/>
              <w:bidi w:val="0"/>
              <w:spacing w:before="0" w:after="0"/>
              <w:ind w:left="0" w:right="0" w:hanging="0"/>
              <w:jc w:val="left"/>
              <w:rPr/>
            </w:pPr>
            <w:r>
              <w:rPr/>
              <w:t>​</w:t>
            </w:r>
          </w:p>
        </w:tc>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8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21, 2026</w:t>
            </w:r>
          </w:p>
        </w:tc>
        <w:tc>
          <w:tcPr>
            <w:tcW w:w="372"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370" w:name="osis-20260630xex4d6.htm"/>
      <w:bookmarkStart w:id="2371" w:name="ksosis20260630xex4d6"/>
      <w:bookmarkEnd w:id="2370"/>
      <w:bookmarkEnd w:id="237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terms of each class of securities of OSI Systems, Inc. that is registered pursuant to Section 12 of the Securities Exchange Act of 1934, as amended (the “Exchange Act”). As this is only a summary, it does not contain all of the information that may be important to you. For a complete description of the matters set forth below, you should refer to our certificate of incorporation and amended and restated bylaws, which are included as exhibits to our Annual Report on Form 10-K, and to the applicable provisions of Delaware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authorized capital stock currently consists of 100,000,000 shares of Common Stock, $0.001 par value, and 10,000,000 shares of preferred stock, $0.001 par value. As of June 30, 2026, our Common Stock is the only class of securities registered pursuant to Section 12 of the Exchange 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holders of Common Stock are entitled to one vote for each share held of record on all matters submitted to a vote of the shareholders.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preferences that may be applicable to any shares of preferred stock issued in the future, holders of Common Stock are entitled to receive ratably such dividends as may be declared by the Board of Directors out of funds legally available therefore. Since the consummation of our initial public offering in 1997, we have not issued any dividends.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Liquidation, Dissolution or Winding-Up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a liquidation, dissolution or winding up of the Company, holders of the Common Stock are entitled to share ratably with the holders of any then outstanding preferred stock in all assets remaining after payment of liabilities and the liquidation preference of any then outstanding preferred stock. Holders of Common Stock have no preemptive rights and no right to convert their Common Stock into any other securities. There are no redemption or sinking fund provisions applicable to the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72" w:name="osis-20260630xex10d2.htm"/>
      <w:bookmarkStart w:id="2373" w:name="ksosis20260630xex10d2"/>
      <w:bookmarkEnd w:id="2372"/>
      <w:bookmarkEnd w:id="2373"/>
      <w:r>
        <w:rPr>
          <w:rFonts w:ascii="Times New Roman;Times;serif" w:hAnsi="Times New Roman;Times;serif"/>
          <w:b/>
          <w:sz w:val="20"/>
        </w:rPr>
        <w:t>Exhibit 10.2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FIRST AMENDMENT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AMENDED AND RESTATED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OSI SYSTEMS, INC. DEFERRED COMPENSATION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WHEREAS, the Company adopted the Second </w:t>
      </w:r>
      <w:r>
        <w:rPr>
          <w:rFonts w:ascii="Times New Roman;Times;serif" w:hAnsi="Times New Roman;Times;serif"/>
          <w:color w:val="282828"/>
          <w:sz w:val="20"/>
        </w:rPr>
        <w:t>Amended and Restated OSI Systems, Inc. Deferred Compensation Plan</w:t>
      </w:r>
      <w:r>
        <w:rPr>
          <w:rFonts w:ascii="Times New Roman;Times;serif" w:hAnsi="Times New Roman;Times;serif"/>
          <w:sz w:val="20"/>
        </w:rPr>
        <w:t>, effective December 1, 2023 (the “</w:t>
      </w:r>
      <w:r>
        <w:rPr>
          <w:rFonts w:ascii="Times New Roman;Times;serif" w:hAnsi="Times New Roman;Times;serif"/>
          <w:b/>
          <w:i/>
          <w:sz w:val="20"/>
        </w:rPr>
        <w:t>Plan</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pursuant to Section 10.2 of the Plan, the Company may amend the Plan at any time and for any reason;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the Company now desires to amend the Plan to eliminate the automatic removal of a former spouse or domestic partner as Beneficiary upon dissolution of the Participant’s marriage or partnership and to make certain other clarifying amendments.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NOW, THEREFORE, the Plan is hereby amended effective July 1, 2026, as follows:</w:t>
      </w:r>
    </w:p>
    <w:tbl>
      <w:tblPr>
        <w:tblW w:w="9475" w:type="dxa"/>
        <w:jc w:val="left"/>
        <w:tblInd w:w="0" w:type="dxa"/>
        <w:tblLayout w:type="fixed"/>
        <w:tblCellMar>
          <w:top w:w="0" w:type="dxa"/>
          <w:left w:w="0" w:type="dxa"/>
          <w:bottom w:w="0" w:type="dxa"/>
          <w:right w:w="0" w:type="dxa"/>
        </w:tblCellMar>
      </w:tblPr>
      <w:tblGrid>
        <w:gridCol w:w="170"/>
        <w:gridCol w:w="9305"/>
      </w:tblGrid>
      <w:tr>
        <w:trPr/>
        <w:tc>
          <w:tcPr>
            <w:tcW w:w="170" w:type="dxa"/>
            <w:tcBorders/>
            <w:vAlign w:val="center"/>
          </w:tcPr>
          <w:p>
            <w:pPr>
              <w:pStyle w:val="TableContents"/>
              <w:bidi w:val="0"/>
              <w:spacing w:before="0" w:after="240"/>
              <w:jc w:val="left"/>
              <w:rPr>
                <w:rFonts w:ascii="Times New Roman;Times;serif" w:hAnsi="Times New Roman;Times;serif"/>
                <w:color w:val="010000"/>
                <w:sz w:val="20"/>
              </w:rPr>
            </w:pPr>
            <w:r>
              <w:rPr>
                <w:rFonts w:ascii="Times New Roman;Times;serif" w:hAnsi="Times New Roman;Times;serif"/>
                <w:color w:val="010000"/>
                <w:sz w:val="20"/>
              </w:rPr>
              <w:t>1.</w:t>
            </w:r>
          </w:p>
        </w:tc>
        <w:tc>
          <w:tcPr>
            <w:tcW w:w="9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Section 6.1(c) of the Plan is amended by deleting the second paragraph thereof and replacing it with the following:</w:t>
            </w:r>
          </w:p>
        </w:tc>
      </w:tr>
    </w:tbl>
    <w:p>
      <w:pPr>
        <w:pStyle w:val="TextBody"/>
        <w:bidi w:val="0"/>
        <w:spacing w:before="0" w:after="240"/>
        <w:ind w:left="719" w:right="0" w:hanging="0"/>
        <w:jc w:val="both"/>
        <w:rPr>
          <w:rFonts w:ascii="Times New Roman;Times;serif" w:hAnsi="Times New Roman;Times;serif"/>
          <w:sz w:val="20"/>
        </w:rPr>
      </w:pPr>
      <w:r>
        <w:rPr>
          <w:rFonts w:ascii="Times New Roman;Times;serif" w:hAnsi="Times New Roman;Times;serif"/>
          <w:sz w:val="20"/>
        </w:rPr>
        <w:t>Each Participant may, pursuant to such procedures as the Committee may specify, designate one or more Beneficiaries in connection with the Plan. If a Participant is married or has a registered domestic partner and names someone other than his or her spouse or domestic partner, as applicable, as a primary Beneficiary with respect to any portion of his or her Accounts, spousal/partner consent shall be required to be provided in a form designated by the Committee, executed by such Participant’s spouse/partner and returned to the Committee. A Participant may change or revoke a Beneficiary designation by delivering to the Committee a new designation (or revocation). Any designation or revocation shall be effective only if it is received in proper form by the Committee. However, when so received, the designation or revocation shall be effective as of the date the notice is executed, but without prejudice to any Employer on account of any payment made before the change is recorded. The last effective designation received by the Committee shall supersede all prior designations. If a Participant dies without having effectively designated a Beneficiary, or if no Beneficiary survives the Participant, the Death Benefit shall be payable (i) to his or her surviving spouse/domestic partner, or (ii) if the Participant is not survived by his or her spouse/domestic partner, to his or her estate.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First Amendment to the Second Amended and Restated OSI Systems, Inc. Deferred Compensation Plan</w:t>
      </w:r>
    </w:p>
    <w:tbl>
      <w:tblPr>
        <w:tblW w:w="9490" w:type="dxa"/>
        <w:jc w:val="left"/>
        <w:tblInd w:w="0" w:type="dxa"/>
        <w:tblLayout w:type="fixed"/>
        <w:tblCellMar>
          <w:top w:w="0" w:type="dxa"/>
          <w:left w:w="0" w:type="dxa"/>
          <w:bottom w:w="0" w:type="dxa"/>
          <w:right w:w="0" w:type="dxa"/>
        </w:tblCellMar>
      </w:tblPr>
      <w:tblGrid>
        <w:gridCol w:w="170"/>
        <w:gridCol w:w="9320"/>
      </w:tblGrid>
      <w:tr>
        <w:trPr/>
        <w:tc>
          <w:tcPr>
            <w:tcW w:w="170" w:type="dxa"/>
            <w:tcBorders/>
            <w:vAlign w:val="center"/>
          </w:tcPr>
          <w:p>
            <w:pPr>
              <w:pStyle w:val="TableContents"/>
              <w:bidi w:val="0"/>
              <w:spacing w:before="0" w:after="240"/>
              <w:jc w:val="left"/>
              <w:rPr>
                <w:rFonts w:ascii="Times New Roman;Times;serif" w:hAnsi="Times New Roman;Times;serif"/>
                <w:color w:val="010000"/>
                <w:sz w:val="20"/>
              </w:rPr>
            </w:pPr>
            <w:r>
              <w:rPr>
                <w:rFonts w:ascii="Times New Roman;Times;serif" w:hAnsi="Times New Roman;Times;serif"/>
                <w:color w:val="010000"/>
                <w:sz w:val="20"/>
              </w:rPr>
              <w:t>2.</w:t>
            </w:r>
          </w:p>
        </w:tc>
        <w:tc>
          <w:tcPr>
            <w:tcW w:w="9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Section 6.2(b) of the Plan is amended by deleting the second paragraph thereof and replacing it with the following:</w:t>
            </w:r>
          </w:p>
        </w:tc>
      </w:tr>
    </w:tbl>
    <w:p>
      <w:pPr>
        <w:pStyle w:val="TextBody"/>
        <w:bidi w:val="0"/>
        <w:spacing w:before="0" w:after="240"/>
        <w:ind w:left="719" w:right="0" w:hanging="0"/>
        <w:jc w:val="both"/>
        <w:rPr>
          <w:rFonts w:ascii="Times New Roman;Times;serif" w:hAnsi="Times New Roman;Times;serif"/>
          <w:sz w:val="20"/>
        </w:rPr>
      </w:pPr>
      <w:r>
        <w:rPr>
          <w:rFonts w:ascii="Times New Roman;Times;serif" w:hAnsi="Times New Roman;Times;serif"/>
          <w:sz w:val="20"/>
        </w:rPr>
        <w:t>Notwithstanding any Specified Date election of a Participant, if a Participant incurs a Separation from Service before distributions with respect to a Specified Date Account have commenced, or dies or becomes Disabled before distributions with respect to a Specified Date Account have been completed, such amounts shall be paid in accordance with the time and form of payment applicable to the Participant’s Separation from Service Benefit, Death Benefit or Disability Benefit (as applicable). With respect to Specified Date Account, Balances that have commenced to be paid in installment payments prior to the date of a Separation form Service, such Specified Date accounts shall continue to be paid in accordance with the form of payment election applicable to the Specified Date Account.</w:t>
      </w:r>
    </w:p>
    <w:tbl>
      <w:tblPr>
        <w:tblW w:w="5635" w:type="dxa"/>
        <w:jc w:val="left"/>
        <w:tblInd w:w="0" w:type="dxa"/>
        <w:tblLayout w:type="fixed"/>
        <w:tblCellMar>
          <w:top w:w="0" w:type="dxa"/>
          <w:left w:w="0" w:type="dxa"/>
          <w:bottom w:w="0" w:type="dxa"/>
          <w:right w:w="0" w:type="dxa"/>
        </w:tblCellMar>
      </w:tblPr>
      <w:tblGrid>
        <w:gridCol w:w="170"/>
        <w:gridCol w:w="5465"/>
      </w:tblGrid>
      <w:tr>
        <w:trPr/>
        <w:tc>
          <w:tcPr>
            <w:tcW w:w="170" w:type="dxa"/>
            <w:tcBorders/>
            <w:vAlign w:val="center"/>
          </w:tcPr>
          <w:p>
            <w:pPr>
              <w:pStyle w:val="TableContents"/>
              <w:bidi w:val="0"/>
              <w:spacing w:before="0" w:after="240"/>
              <w:jc w:val="left"/>
              <w:rPr>
                <w:rFonts w:ascii="Times New Roman;Times;serif" w:hAnsi="Times New Roman;Times;serif"/>
                <w:color w:val="010000"/>
                <w:sz w:val="20"/>
              </w:rPr>
            </w:pPr>
            <w:r>
              <w:rPr>
                <w:rFonts w:ascii="Times New Roman;Times;serif" w:hAnsi="Times New Roman;Times;serif"/>
                <w:color w:val="010000"/>
                <w:sz w:val="20"/>
              </w:rPr>
              <w:t>3.</w:t>
            </w:r>
          </w:p>
        </w:tc>
        <w:tc>
          <w:tcPr>
            <w:tcW w:w="54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other provisions of the Plan shall remain in full force and effect.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WITNESS WHEREOF, the Company has caused this 2025 to the </w:t>
      </w:r>
      <w:r>
        <w:rPr>
          <w:rFonts w:ascii="Times New Roman;Times;serif" w:hAnsi="Times New Roman;Times;serif"/>
          <w:color w:val="282828"/>
          <w:sz w:val="20"/>
        </w:rPr>
        <w:t xml:space="preserve">Plan </w:t>
      </w:r>
      <w:r>
        <w:rPr>
          <w:rFonts w:ascii="Times New Roman;Times;serif" w:hAnsi="Times New Roman;Times;serif"/>
          <w:sz w:val="20"/>
        </w:rPr>
        <w:t>to be executed by its duly authorized representative on this June 19, 2026.</w:t>
      </w:r>
    </w:p>
    <w:tbl>
      <w:tblPr>
        <w:tblW w:w="5196" w:type="dxa"/>
        <w:jc w:val="center"/>
        <w:tblInd w:w="0" w:type="dxa"/>
        <w:tblLayout w:type="fixed"/>
        <w:tblCellMar>
          <w:top w:w="0" w:type="dxa"/>
          <w:left w:w="0" w:type="dxa"/>
          <w:bottom w:w="0" w:type="dxa"/>
          <w:right w:w="0" w:type="dxa"/>
        </w:tblCellMar>
      </w:tblPr>
      <w:tblGrid>
        <w:gridCol w:w="124"/>
        <w:gridCol w:w="631"/>
        <w:gridCol w:w="4441"/>
      </w:tblGrid>
      <w:tr>
        <w:trPr/>
        <w:tc>
          <w:tcPr>
            <w:tcW w:w="124" w:type="dxa"/>
            <w:tcBorders/>
            <w:vAlign w:val="center"/>
          </w:tcPr>
          <w:p>
            <w:pPr>
              <w:pStyle w:val="TableContents"/>
              <w:bidi w:val="0"/>
              <w:spacing w:before="0" w:after="0"/>
              <w:ind w:left="0" w:right="0" w:hanging="0"/>
              <w:jc w:val="left"/>
              <w:rPr/>
            </w:pPr>
            <w:r>
              <w:rPr/>
              <w:t>​</w:t>
            </w:r>
          </w:p>
        </w:tc>
        <w:tc>
          <w:tcPr>
            <w:tcW w:w="50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SYSTEMS, INC.</w:t>
            </w:r>
          </w:p>
        </w:tc>
      </w:tr>
      <w:tr>
        <w:trPr/>
        <w:tc>
          <w:tcPr>
            <w:tcW w:w="124" w:type="dxa"/>
            <w:tcBorders/>
            <w:vAlign w:val="center"/>
          </w:tcPr>
          <w:p>
            <w:pPr>
              <w:pStyle w:val="TableContents"/>
              <w:bidi w:val="0"/>
              <w:spacing w:before="0" w:after="0"/>
              <w:ind w:left="0" w:right="0" w:hanging="0"/>
              <w:jc w:val="left"/>
              <w:rPr/>
            </w:pPr>
            <w:r>
              <w:rPr/>
              <w:t>​</w:t>
            </w:r>
          </w:p>
        </w:tc>
        <w:tc>
          <w:tcPr>
            <w:tcW w:w="507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Alan Edrick</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Alan Edrick</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374" w:name="osis-20260630xex10d16.htm"/>
      <w:bookmarkStart w:id="2375" w:name="ksosis20260630xex10d16"/>
      <w:bookmarkEnd w:id="2374"/>
      <w:bookmarkEnd w:id="2375"/>
      <w:r>
        <w:rPr/>
        <w:t>​</w:t>
      </w:r>
      <w:r>
        <w:br w:type="page"/>
      </w:r>
    </w:p>
    <w:p>
      <w:pPr>
        <w:pStyle w:val="TextBody"/>
        <w:bidi w:val="0"/>
        <w:spacing w:before="0" w:after="240"/>
        <w:ind w:left="0" w:right="0" w:hanging="0"/>
        <w:jc w:val="right"/>
        <w:rPr>
          <w:rFonts w:ascii="Times New Roman;Times;serif" w:hAnsi="Times New Roman;Times;serif"/>
          <w:b/>
          <w:color w:val="1A1A1A"/>
          <w:sz w:val="20"/>
        </w:rPr>
      </w:pPr>
      <w:r>
        <w:rPr>
          <w:rFonts w:ascii="Times New Roman;Times;serif" w:hAnsi="Times New Roman;Times;serif"/>
          <w:b/>
          <w:color w:val="1A1A1A"/>
          <w:sz w:val="20"/>
        </w:rPr>
        <w:t>Exhibit 10.16</w:t>
      </w:r>
    </w:p>
    <w:p>
      <w:pPr>
        <w:pStyle w:val="TextBody"/>
        <w:bidi w:val="0"/>
        <w:spacing w:before="0" w:after="0"/>
        <w:ind w:left="0" w:right="0" w:hanging="0"/>
        <w:jc w:val="center"/>
        <w:rPr>
          <w:rFonts w:ascii="Times New Roman;Times;serif" w:hAnsi="Times New Roman;Times;serif"/>
          <w:b/>
          <w:color w:val="1A1A1A"/>
          <w:sz w:val="20"/>
        </w:rPr>
      </w:pPr>
      <w:r>
        <w:rPr>
          <w:rFonts w:ascii="Times New Roman;Times;serif" w:hAnsi="Times New Roman;Times;serif"/>
          <w:b/>
          <w:color w:val="1A1A1A"/>
          <w:sz w:val="20"/>
        </w:rPr>
        <w:t>OSI SYSTEMS, INC</w:t>
      </w:r>
    </w:p>
    <w:p>
      <w:pPr>
        <w:pStyle w:val="TextBody"/>
        <w:bidi w:val="0"/>
        <w:spacing w:before="0" w:after="240"/>
        <w:ind w:left="0" w:right="0" w:hanging="0"/>
        <w:jc w:val="center"/>
        <w:rPr>
          <w:rFonts w:ascii="Times New Roman;Times;serif" w:hAnsi="Times New Roman;Times;serif"/>
          <w:b/>
          <w:color w:val="1A1A1A"/>
          <w:sz w:val="20"/>
        </w:rPr>
      </w:pPr>
      <w:r>
        <w:rPr>
          <w:rFonts w:ascii="Times New Roman;Times;serif" w:hAnsi="Times New Roman;Times;serif"/>
          <w:b/>
          <w:color w:val="1A1A1A"/>
          <w:sz w:val="20"/>
        </w:rPr>
        <w:t>NONQUALIFIED DEFINED BENEFIT PLAN</w:t>
      </w:r>
    </w:p>
    <w:p>
      <w:pPr>
        <w:pStyle w:val="TextBody"/>
        <w:bidi w:val="0"/>
        <w:spacing w:before="0" w:after="0"/>
        <w:ind w:left="0" w:right="0" w:hanging="0"/>
        <w:jc w:val="center"/>
        <w:rPr>
          <w:rFonts w:ascii="Times New Roman;Times;serif" w:hAnsi="Times New Roman;Times;serif"/>
          <w:b/>
          <w:color w:val="1A1A1A"/>
          <w:sz w:val="20"/>
        </w:rPr>
      </w:pPr>
      <w:r>
        <w:rPr>
          <w:rFonts w:ascii="Times New Roman;Times;serif" w:hAnsi="Times New Roman;Times;serif"/>
          <w:b/>
          <w:color w:val="1A1A1A"/>
          <w:sz w:val="20"/>
        </w:rPr>
        <w:t>2025 Amendment to</w:t>
      </w:r>
    </w:p>
    <w:p>
      <w:pPr>
        <w:pStyle w:val="TextBody"/>
        <w:bidi w:val="0"/>
        <w:spacing w:before="0" w:after="240"/>
        <w:ind w:left="0" w:right="0" w:hanging="0"/>
        <w:jc w:val="center"/>
        <w:rPr>
          <w:rFonts w:ascii="Times New Roman;Times;serif" w:hAnsi="Times New Roman;Times;serif"/>
          <w:b/>
          <w:color w:val="1A1A1A"/>
          <w:sz w:val="20"/>
        </w:rPr>
      </w:pPr>
      <w:r>
        <w:rPr>
          <w:rFonts w:ascii="Times New Roman;Times;serif" w:hAnsi="Times New Roman;Times;serif"/>
          <w:b/>
          <w:color w:val="1A1A1A"/>
          <w:sz w:val="20"/>
        </w:rPr>
        <w:t>Amended and Restated Retirement Benefit Award Agreement</w:t>
      </w:r>
    </w:p>
    <w:p>
      <w:pPr>
        <w:pStyle w:val="TextBody"/>
        <w:bidi w:val="0"/>
        <w:spacing w:before="0" w:after="240"/>
        <w:ind w:left="0" w:right="0" w:firstLine="720"/>
        <w:jc w:val="left"/>
        <w:rPr>
          <w:rFonts w:ascii="Times New Roman;Times;serif" w:hAnsi="Times New Roman;Times;serif"/>
          <w:color w:val="1A1A1A"/>
          <w:sz w:val="20"/>
        </w:rPr>
      </w:pPr>
      <w:r>
        <w:rPr>
          <w:rFonts w:ascii="Times New Roman;Times;serif" w:hAnsi="Times New Roman;Times;serif"/>
          <w:color w:val="1A1A1A"/>
          <w:sz w:val="20"/>
        </w:rPr>
        <w:t>THIS 2025 AMENDMENT (“2025 Amendment”) is made effective as of December 23, 2025, by and between OSI Systems, Inc. (the “Company”), and Deepak Chopra (the “Eligible Employee”) to the Amended and Restated Retirement Benefit Award Agreement, made effective December 31, 2017 (the “Award Agreement”).</w:t>
      </w:r>
    </w:p>
    <w:p>
      <w:pPr>
        <w:pStyle w:val="TextBody"/>
        <w:bidi w:val="0"/>
        <w:spacing w:before="0" w:after="240"/>
        <w:ind w:left="0" w:right="0" w:firstLine="720"/>
        <w:jc w:val="left"/>
        <w:rPr>
          <w:rFonts w:ascii="Times New Roman;Times;serif" w:hAnsi="Times New Roman;Times;serif"/>
          <w:color w:val="1A1A1A"/>
          <w:sz w:val="20"/>
        </w:rPr>
      </w:pPr>
      <w:r>
        <w:rPr>
          <w:rFonts w:ascii="Times New Roman;Times;serif" w:hAnsi="Times New Roman;Times;serif"/>
          <w:color w:val="1A1A1A"/>
          <w:sz w:val="20"/>
        </w:rPr>
        <w:t>WHEREAS, the Company has adopted the OSI Systems, Inc. Nonqualified Defined Benefit Plan, as amended effective January 1, 2012 (the “Plan”) and designated the Eligible Employee as a Participant in the Plan pursuant to the Award Agreement;</w:t>
      </w:r>
    </w:p>
    <w:p>
      <w:pPr>
        <w:pStyle w:val="TextBody"/>
        <w:bidi w:val="0"/>
        <w:spacing w:before="0" w:after="240"/>
        <w:ind w:left="0" w:right="0" w:firstLine="720"/>
        <w:jc w:val="left"/>
        <w:rPr>
          <w:rFonts w:ascii="Times New Roman;Times;serif" w:hAnsi="Times New Roman;Times;serif"/>
          <w:color w:val="1A1A1A"/>
          <w:sz w:val="20"/>
        </w:rPr>
      </w:pPr>
      <w:r>
        <w:rPr>
          <w:rFonts w:ascii="Times New Roman;Times;serif" w:hAnsi="Times New Roman;Times;serif"/>
          <w:color w:val="1A1A1A"/>
          <w:sz w:val="20"/>
        </w:rPr>
        <w:t>WHEREAS, the Company previously adopted the First Amendment to the Award Agreement, effective June 19, 2020 (the “First Amendment”), the Second Amendment to the Award Agreement, effective August 19, 2020 (the “Second Amendment”) and the Third Amendment to the Award Agreement, effective October 27, 2021 (the “Third Amendment”); and</w:t>
      </w:r>
    </w:p>
    <w:p>
      <w:pPr>
        <w:pStyle w:val="TextBody"/>
        <w:bidi w:val="0"/>
        <w:spacing w:before="0" w:after="240"/>
        <w:ind w:left="0" w:right="0" w:firstLine="720"/>
        <w:jc w:val="left"/>
        <w:rPr>
          <w:rFonts w:ascii="Times New Roman;Times;serif" w:hAnsi="Times New Roman;Times;serif"/>
          <w:color w:val="1A1A1A"/>
          <w:sz w:val="20"/>
        </w:rPr>
      </w:pPr>
      <w:r>
        <w:rPr>
          <w:rFonts w:ascii="Times New Roman;Times;serif" w:hAnsi="Times New Roman;Times;serif"/>
          <w:color w:val="1A1A1A"/>
          <w:sz w:val="20"/>
        </w:rPr>
        <w:t>WHEREAS, the Company now desires to again amend the Award Agreement to increase the Eligible Employee’s Retirement Benefit and specify the form of payout for the new benefit amount without changing the timing of the existing benefit payments, in compliance with all requirements of Section 409A of the Internal Revenue Code (the “Code”).</w:t>
      </w:r>
    </w:p>
    <w:p>
      <w:pPr>
        <w:pStyle w:val="TextBody"/>
        <w:bidi w:val="0"/>
        <w:spacing w:before="0" w:after="240"/>
        <w:ind w:left="0" w:right="0" w:firstLine="720"/>
        <w:jc w:val="left"/>
        <w:rPr>
          <w:rFonts w:ascii="Times New Roman;Times;serif" w:hAnsi="Times New Roman;Times;serif"/>
          <w:color w:val="1A1A1A"/>
          <w:sz w:val="20"/>
        </w:rPr>
      </w:pPr>
      <w:r>
        <w:rPr>
          <w:rFonts w:ascii="Times New Roman;Times;serif" w:hAnsi="Times New Roman;Times;serif"/>
          <w:color w:val="1A1A1A"/>
          <w:sz w:val="20"/>
        </w:rPr>
        <w:t>NOW, THEREFORE,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A1A1A"/>
          <w:sz w:val="20"/>
        </w:rPr>
        <w:t>1.</w:t>
      </w:r>
      <w:r>
        <w:rPr>
          <w:rFonts w:ascii="Times New Roman;Times;serif" w:hAnsi="Times New Roman;Times;serif"/>
          <w:color w:val="1A1A1A"/>
          <w:sz w:val="20"/>
          <w:u w:val="single"/>
        </w:rPr>
        <w:t>Fourth Additional Retirement Benefit</w:t>
      </w:r>
      <w:r>
        <w:rPr>
          <w:rFonts w:ascii="Times New Roman;Times;serif" w:hAnsi="Times New Roman;Times;serif"/>
          <w:color w:val="1A1A1A"/>
          <w:sz w:val="20"/>
        </w:rPr>
        <w:t>. Section 3 of the Award Agreement is hereby amended to add the following new sentence to the end of the first paragraph of that section:</w:t>
      </w:r>
    </w:p>
    <w:p>
      <w:pPr>
        <w:pStyle w:val="TextBody"/>
        <w:bidi w:val="0"/>
        <w:spacing w:before="0" w:after="240"/>
        <w:ind w:left="720" w:right="0" w:hanging="0"/>
        <w:jc w:val="left"/>
        <w:rPr>
          <w:rFonts w:ascii="Times New Roman;Times;serif" w:hAnsi="Times New Roman;Times;serif"/>
          <w:color w:val="1A1A1A"/>
          <w:sz w:val="20"/>
        </w:rPr>
      </w:pPr>
      <w:r>
        <w:rPr>
          <w:rFonts w:ascii="Times New Roman;Times;serif" w:hAnsi="Times New Roman;Times;serif"/>
          <w:color w:val="1A1A1A"/>
          <w:sz w:val="20"/>
        </w:rPr>
        <w:t>Notwithstanding the foregoing, effective December 23, 2025, in addition to the original Retirement Benefit and additional Retirement Benefits specified above and in the First Amendment, Second Amendment and Third Amendment, the Eligible Employee shall be entitled to a fourth additional Retirement Benefit of Five Million Dollars ($5,000,000), (adjusted as specified herein for annual CPI increases commencing on July 1, 2028), payable in quarterly installments of Four Hundred Sixteen Thousand Six Hundred Sixty-Six Dollars and Sixty-Seven Cents ($416,666.67), plus annual CPI adjustments each July 1st, on the first day of each calendar quarter commencing for this additional amount on July 1, 2028 and continuing for a period of twelve calendar quarters ending June 30, 2031. All such additional Retirement Benefit payments shall be fully vested as of December 23, 2025 and, as of such date, all references to “Retirement Benefit” as used in the Plan and this Award Agreement (including amounts payable by reason of death or Disability under Sections 5 or 6 below) shall include this fourth additional benefit, except as provided in Section 7 as amended below.</w:t>
      </w:r>
    </w:p>
    <w:p>
      <w:pPr>
        <w:pStyle w:val="TextBody"/>
        <w:bidi w:val="0"/>
        <w:spacing w:before="0" w:after="240"/>
        <w:ind w:left="0" w:right="0" w:hanging="0"/>
        <w:jc w:val="left"/>
        <w:rPr>
          <w:color w:val="1F1F1F"/>
        </w:rPr>
      </w:pPr>
      <w:r>
        <w:rPr>
          <w:color w:val="1F1F1F"/>
        </w:rPr>
        <w:t>​</w:t>
      </w:r>
    </w:p>
    <w:p>
      <w:pPr>
        <w:pStyle w:val="TextBody"/>
        <w:bidi w:val="0"/>
        <w:spacing w:before="0" w:after="240"/>
        <w:ind w:left="0" w:right="0" w:hanging="0"/>
        <w:jc w:val="left"/>
        <w:rPr>
          <w:color w:val="1F1F1F"/>
        </w:rPr>
      </w:pPr>
      <w:r>
        <w:rPr>
          <w:color w:val="1F1F1F"/>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color w:val="1F1F1F"/>
          <w:sz w:val="20"/>
        </w:rPr>
        <w:t>OSI Systems, Inc</w:t>
      </w:r>
      <w:r>
        <w:rPr>
          <w:rFonts w:ascii="Times New Roman;Times;serif" w:hAnsi="Times New Roman;Times;serif"/>
          <w:b/>
          <w:i/>
          <w:color w:val="333333"/>
          <w:sz w:val="20"/>
        </w:rPr>
        <w:t xml:space="preserve">. </w:t>
      </w:r>
      <w:r>
        <w:rPr>
          <w:rFonts w:ascii="Times New Roman;Times;serif" w:hAnsi="Times New Roman;Times;serif"/>
          <w:b/>
          <w:i/>
          <w:color w:val="1F1F1F"/>
          <w:sz w:val="20"/>
        </w:rPr>
        <w:t>NDBP 2025 Amendment to Amended and Restated Retirement Benefit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F1F1F"/>
          <w:sz w:val="20"/>
        </w:rPr>
        <w:t>2.</w:t>
      </w:r>
      <w:r>
        <w:rPr>
          <w:rFonts w:ascii="Times New Roman;Times;serif" w:hAnsi="Times New Roman;Times;serif"/>
          <w:color w:val="333333"/>
          <w:sz w:val="20"/>
          <w:u w:val="single"/>
        </w:rPr>
        <w:t>Change in Control</w:t>
      </w:r>
      <w:r>
        <w:rPr>
          <w:rFonts w:ascii="Times New Roman;Times;serif" w:hAnsi="Times New Roman;Times;serif"/>
          <w:color w:val="333333"/>
          <w:sz w:val="20"/>
        </w:rPr>
        <w:t>.</w:t>
      </w:r>
      <w:r>
        <w:rPr>
          <w:rFonts w:ascii="Times New Roman;Times;serif" w:hAnsi="Times New Roman;Times;serif"/>
          <w:color w:val="1F1F1F"/>
          <w:sz w:val="20"/>
        </w:rPr>
        <w:t xml:space="preserve"> Section 7 of the Award Agreement is hereby amended to</w:t>
      </w:r>
      <w:r>
        <w:rPr>
          <w:rFonts w:ascii="Times New Roman;Times;serif" w:hAnsi="Times New Roman;Times;serif"/>
          <w:color w:val="979797"/>
          <w:sz w:val="20"/>
        </w:rPr>
        <w:t xml:space="preserve"> </w:t>
      </w:r>
      <w:r>
        <w:rPr>
          <w:rFonts w:ascii="Times New Roman;Times;serif" w:hAnsi="Times New Roman;Times;serif"/>
          <w:color w:val="333333"/>
          <w:sz w:val="20"/>
        </w:rPr>
        <w:t xml:space="preserve">replace the </w:t>
      </w:r>
      <w:r>
        <w:rPr>
          <w:rFonts w:ascii="Times New Roman;Times;serif" w:hAnsi="Times New Roman;Times;serif"/>
          <w:color w:val="494949"/>
          <w:sz w:val="20"/>
        </w:rPr>
        <w:t xml:space="preserve">new </w:t>
      </w:r>
      <w:r>
        <w:rPr>
          <w:rFonts w:ascii="Times New Roman;Times;serif" w:hAnsi="Times New Roman;Times;serif"/>
          <w:color w:val="333333"/>
          <w:sz w:val="20"/>
        </w:rPr>
        <w:t xml:space="preserve">final sentence added </w:t>
      </w:r>
      <w:r>
        <w:rPr>
          <w:rFonts w:ascii="Times New Roman;Times;serif" w:hAnsi="Times New Roman;Times;serif"/>
          <w:color w:val="1F1F1F"/>
          <w:sz w:val="20"/>
        </w:rPr>
        <w:t xml:space="preserve">by the First </w:t>
      </w:r>
      <w:r>
        <w:rPr>
          <w:rFonts w:ascii="Times New Roman;Times;serif" w:hAnsi="Times New Roman;Times;serif"/>
          <w:color w:val="333333"/>
          <w:sz w:val="20"/>
        </w:rPr>
        <w:t xml:space="preserve">Amendment, </w:t>
      </w:r>
      <w:r>
        <w:rPr>
          <w:rFonts w:ascii="Times New Roman;Times;serif" w:hAnsi="Times New Roman;Times;serif"/>
          <w:color w:val="1F1F1F"/>
          <w:sz w:val="20"/>
        </w:rPr>
        <w:t xml:space="preserve">as amended by the Second </w:t>
      </w:r>
      <w:r>
        <w:rPr>
          <w:rFonts w:ascii="Times New Roman;Times;serif" w:hAnsi="Times New Roman;Times;serif"/>
          <w:color w:val="333333"/>
          <w:sz w:val="20"/>
        </w:rPr>
        <w:t xml:space="preserve">Amendment and the </w:t>
      </w:r>
      <w:r>
        <w:rPr>
          <w:rFonts w:ascii="Times New Roman;Times;serif" w:hAnsi="Times New Roman;Times;serif"/>
          <w:color w:val="494949"/>
          <w:sz w:val="20"/>
        </w:rPr>
        <w:t xml:space="preserve">Third </w:t>
      </w:r>
      <w:r>
        <w:rPr>
          <w:rFonts w:ascii="Times New Roman;Times;serif" w:hAnsi="Times New Roman;Times;serif"/>
          <w:color w:val="333333"/>
          <w:sz w:val="20"/>
        </w:rPr>
        <w:t xml:space="preserve">Amendment, </w:t>
      </w:r>
      <w:r>
        <w:rPr>
          <w:rFonts w:ascii="Times New Roman;Times;serif" w:hAnsi="Times New Roman;Times;serif"/>
          <w:color w:val="1F1F1F"/>
          <w:sz w:val="20"/>
        </w:rPr>
        <w:t xml:space="preserve">with the </w:t>
      </w:r>
      <w:r>
        <w:rPr>
          <w:rFonts w:ascii="Times New Roman;Times;serif" w:hAnsi="Times New Roman;Times;serif"/>
          <w:color w:val="333333"/>
          <w:sz w:val="20"/>
        </w:rPr>
        <w:t>following: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color w:val="333333"/>
          <w:sz w:val="20"/>
        </w:rPr>
        <w:t xml:space="preserve">Notwithstanding </w:t>
      </w:r>
      <w:r>
        <w:rPr>
          <w:rFonts w:ascii="Times New Roman;Times;serif" w:hAnsi="Times New Roman;Times;serif"/>
          <w:color w:val="494949"/>
          <w:sz w:val="20"/>
        </w:rPr>
        <w:t xml:space="preserve">the </w:t>
      </w:r>
      <w:r>
        <w:rPr>
          <w:rFonts w:ascii="Times New Roman;Times;serif" w:hAnsi="Times New Roman;Times;serif"/>
          <w:color w:val="333333"/>
          <w:sz w:val="20"/>
        </w:rPr>
        <w:t xml:space="preserve">foregoing, in the event </w:t>
      </w:r>
      <w:r>
        <w:rPr>
          <w:rFonts w:ascii="Times New Roman;Times;serif" w:hAnsi="Times New Roman;Times;serif"/>
          <w:color w:val="1F1F1F"/>
          <w:sz w:val="20"/>
        </w:rPr>
        <w:t xml:space="preserve">of </w:t>
      </w:r>
      <w:r>
        <w:rPr>
          <w:rFonts w:ascii="Times New Roman;Times;serif" w:hAnsi="Times New Roman;Times;serif"/>
          <w:color w:val="333333"/>
          <w:sz w:val="20"/>
        </w:rPr>
        <w:t xml:space="preserve">a Change in Control, whether before or after the Eligible Employee’s Separation from Service, the present </w:t>
      </w:r>
      <w:r>
        <w:rPr>
          <w:rFonts w:ascii="Times New Roman;Times;serif" w:hAnsi="Times New Roman;Times;serif"/>
          <w:color w:val="1F1F1F"/>
          <w:sz w:val="20"/>
        </w:rPr>
        <w:t>value o</w:t>
      </w:r>
      <w:r>
        <w:rPr>
          <w:rFonts w:ascii="Times New Roman;Times;serif" w:hAnsi="Times New Roman;Times;serif"/>
          <w:color w:val="494949"/>
          <w:sz w:val="20"/>
        </w:rPr>
        <w:t xml:space="preserve">f </w:t>
      </w:r>
      <w:r>
        <w:rPr>
          <w:rFonts w:ascii="Times New Roman;Times;serif" w:hAnsi="Times New Roman;Times;serif"/>
          <w:color w:val="333333"/>
          <w:sz w:val="20"/>
        </w:rPr>
        <w:t xml:space="preserve">all remaining payments with </w:t>
      </w:r>
      <w:r>
        <w:rPr>
          <w:rFonts w:ascii="Times New Roman;Times;serif" w:hAnsi="Times New Roman;Times;serif"/>
          <w:color w:val="1F1F1F"/>
          <w:sz w:val="20"/>
        </w:rPr>
        <w:t xml:space="preserve">respect </w:t>
      </w:r>
      <w:r>
        <w:rPr>
          <w:rFonts w:ascii="Times New Roman;Times;serif" w:hAnsi="Times New Roman;Times;serif"/>
          <w:color w:val="333333"/>
          <w:sz w:val="20"/>
        </w:rPr>
        <w:t xml:space="preserve">to each </w:t>
      </w:r>
      <w:r>
        <w:rPr>
          <w:rFonts w:ascii="Times New Roman;Times;serif" w:hAnsi="Times New Roman;Times;serif"/>
          <w:color w:val="1F1F1F"/>
          <w:sz w:val="20"/>
        </w:rPr>
        <w:t>o</w:t>
      </w:r>
      <w:r>
        <w:rPr>
          <w:rFonts w:ascii="Times New Roman;Times;serif" w:hAnsi="Times New Roman;Times;serif"/>
          <w:color w:val="606060"/>
          <w:sz w:val="20"/>
        </w:rPr>
        <w:t xml:space="preserve">f </w:t>
      </w:r>
      <w:r>
        <w:rPr>
          <w:rFonts w:ascii="Times New Roman;Times;serif" w:hAnsi="Times New Roman;Times;serif"/>
          <w:color w:val="333333"/>
          <w:sz w:val="20"/>
        </w:rPr>
        <w:t xml:space="preserve">the additional Retirement Benefits added </w:t>
      </w:r>
      <w:r>
        <w:rPr>
          <w:rFonts w:ascii="Times New Roman;Times;serif" w:hAnsi="Times New Roman;Times;serif"/>
          <w:color w:val="1F1F1F"/>
          <w:sz w:val="20"/>
        </w:rPr>
        <w:t>by the</w:t>
      </w:r>
      <w:r>
        <w:rPr>
          <w:rFonts w:ascii="Times New Roman;Times;serif" w:hAnsi="Times New Roman;Times;serif"/>
          <w:color w:val="494949"/>
          <w:sz w:val="20"/>
        </w:rPr>
        <w:t xml:space="preserve"> First </w:t>
      </w:r>
      <w:r>
        <w:rPr>
          <w:rFonts w:ascii="Times New Roman;Times;serif" w:hAnsi="Times New Roman;Times;serif"/>
          <w:color w:val="333333"/>
          <w:sz w:val="20"/>
        </w:rPr>
        <w:t xml:space="preserve">Amendment, </w:t>
      </w:r>
      <w:r>
        <w:rPr>
          <w:rFonts w:ascii="Times New Roman;Times;serif" w:hAnsi="Times New Roman;Times;serif"/>
          <w:color w:val="1F1F1F"/>
          <w:sz w:val="20"/>
        </w:rPr>
        <w:t xml:space="preserve">the Second Amendment, the Third </w:t>
      </w:r>
      <w:r>
        <w:rPr>
          <w:rFonts w:ascii="Times New Roman;Times;serif" w:hAnsi="Times New Roman;Times;serif"/>
          <w:color w:val="333333"/>
          <w:sz w:val="20"/>
        </w:rPr>
        <w:t>Amendment, and this 2025 Amendment</w:t>
      </w:r>
      <w:r>
        <w:rPr>
          <w:rFonts w:ascii="Times New Roman;Times;serif" w:hAnsi="Times New Roman;Times;serif"/>
          <w:color w:val="606060"/>
          <w:sz w:val="20"/>
        </w:rPr>
        <w:t xml:space="preserve">, </w:t>
      </w:r>
      <w:r>
        <w:rPr>
          <w:rFonts w:ascii="Times New Roman;Times;serif" w:hAnsi="Times New Roman;Times;serif"/>
          <w:color w:val="333333"/>
          <w:sz w:val="20"/>
        </w:rPr>
        <w:t xml:space="preserve">shall be paid in </w:t>
      </w:r>
      <w:r>
        <w:rPr>
          <w:rFonts w:ascii="Times New Roman;Times;serif" w:hAnsi="Times New Roman;Times;serif"/>
          <w:color w:val="494949"/>
          <w:sz w:val="20"/>
        </w:rPr>
        <w:t xml:space="preserve">the </w:t>
      </w:r>
      <w:r>
        <w:rPr>
          <w:rFonts w:ascii="Times New Roman;Times;serif" w:hAnsi="Times New Roman;Times;serif"/>
          <w:color w:val="333333"/>
          <w:sz w:val="20"/>
        </w:rPr>
        <w:t xml:space="preserve">form of a </w:t>
      </w:r>
      <w:r>
        <w:rPr>
          <w:rFonts w:ascii="Times New Roman;Times;serif" w:hAnsi="Times New Roman;Times;serif"/>
          <w:color w:val="1F1F1F"/>
          <w:sz w:val="20"/>
        </w:rPr>
        <w:t xml:space="preserve">single lump </w:t>
      </w:r>
      <w:r>
        <w:rPr>
          <w:rFonts w:ascii="Times New Roman;Times;serif" w:hAnsi="Times New Roman;Times;serif"/>
          <w:color w:val="333333"/>
          <w:sz w:val="20"/>
        </w:rPr>
        <w:t xml:space="preserve">sum within ninety (90) days following the Change in Control, subject </w:t>
      </w:r>
      <w:r>
        <w:rPr>
          <w:rFonts w:ascii="Times New Roman;Times;serif" w:hAnsi="Times New Roman;Times;serif"/>
          <w:color w:val="1F1F1F"/>
          <w:sz w:val="20"/>
        </w:rPr>
        <w:t xml:space="preserve">to compliance </w:t>
      </w:r>
      <w:r>
        <w:rPr>
          <w:rFonts w:ascii="Times New Roman;Times;serif" w:hAnsi="Times New Roman;Times;serif"/>
          <w:color w:val="333333"/>
          <w:sz w:val="20"/>
        </w:rPr>
        <w:t>with all requirements of Code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33333"/>
          <w:sz w:val="20"/>
        </w:rPr>
        <w:t>3.</w:t>
      </w:r>
      <w:r>
        <w:rPr>
          <w:rFonts w:ascii="Times New Roman;Times;serif" w:hAnsi="Times New Roman;Times;serif"/>
          <w:color w:val="333333"/>
          <w:sz w:val="20"/>
          <w:u w:val="single"/>
        </w:rPr>
        <w:t>Confirmation of Existing Benefit</w:t>
      </w:r>
      <w:r>
        <w:rPr>
          <w:rFonts w:ascii="Times New Roman;Times;serif" w:hAnsi="Times New Roman;Times;serif"/>
          <w:color w:val="333333"/>
          <w:sz w:val="20"/>
        </w:rPr>
        <w:t xml:space="preserve">. Except as amended herein, </w:t>
      </w:r>
      <w:r>
        <w:rPr>
          <w:rFonts w:ascii="Times New Roman;Times;serif" w:hAnsi="Times New Roman;Times;serif"/>
          <w:color w:val="1F1F1F"/>
          <w:sz w:val="20"/>
        </w:rPr>
        <w:t xml:space="preserve">all </w:t>
      </w:r>
      <w:r>
        <w:rPr>
          <w:rFonts w:ascii="Times New Roman;Times;serif" w:hAnsi="Times New Roman;Times;serif"/>
          <w:color w:val="333333"/>
          <w:sz w:val="20"/>
        </w:rPr>
        <w:t xml:space="preserve">other provisions </w:t>
      </w:r>
      <w:r>
        <w:rPr>
          <w:rFonts w:ascii="Times New Roman;Times;serif" w:hAnsi="Times New Roman;Times;serif"/>
          <w:color w:val="1F1F1F"/>
          <w:sz w:val="20"/>
        </w:rPr>
        <w:t xml:space="preserve">of the </w:t>
      </w:r>
      <w:r>
        <w:rPr>
          <w:rFonts w:ascii="Times New Roman;Times;serif" w:hAnsi="Times New Roman;Times;serif"/>
          <w:color w:val="333333"/>
          <w:sz w:val="20"/>
        </w:rPr>
        <w:t xml:space="preserve">Plan, </w:t>
      </w:r>
      <w:r>
        <w:rPr>
          <w:rFonts w:ascii="Times New Roman;Times;serif" w:hAnsi="Times New Roman;Times;serif"/>
          <w:color w:val="1F1F1F"/>
          <w:sz w:val="20"/>
        </w:rPr>
        <w:t xml:space="preserve">the </w:t>
      </w:r>
      <w:r>
        <w:rPr>
          <w:rFonts w:ascii="Times New Roman;Times;serif" w:hAnsi="Times New Roman;Times;serif"/>
          <w:color w:val="333333"/>
          <w:sz w:val="20"/>
        </w:rPr>
        <w:t xml:space="preserve">Award Agreement, the First Amendment, the </w:t>
      </w:r>
      <w:r>
        <w:rPr>
          <w:rFonts w:ascii="Times New Roman;Times;serif" w:hAnsi="Times New Roman;Times;serif"/>
          <w:color w:val="1F1F1F"/>
          <w:sz w:val="20"/>
        </w:rPr>
        <w:t xml:space="preserve">Second </w:t>
      </w:r>
      <w:r>
        <w:rPr>
          <w:rFonts w:ascii="Times New Roman;Times;serif" w:hAnsi="Times New Roman;Times;serif"/>
          <w:color w:val="333333"/>
          <w:sz w:val="20"/>
        </w:rPr>
        <w:t xml:space="preserve">Amendment, and the Third </w:t>
      </w:r>
      <w:r>
        <w:rPr>
          <w:rFonts w:ascii="Times New Roman;Times;serif" w:hAnsi="Times New Roman;Times;serif"/>
          <w:color w:val="1F1F1F"/>
          <w:sz w:val="20"/>
        </w:rPr>
        <w:t>Amendment, shall remain in full force and effect and shall apply to the additional Retirement Benefit provided by this 2025 Amendment.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color w:val="494949"/>
          <w:sz w:val="20"/>
        </w:rPr>
        <w:t xml:space="preserve">IN </w:t>
      </w:r>
      <w:r>
        <w:rPr>
          <w:rFonts w:ascii="Times New Roman;Times;serif" w:hAnsi="Times New Roman;Times;serif"/>
          <w:color w:val="333333"/>
          <w:sz w:val="20"/>
        </w:rPr>
        <w:t xml:space="preserve">WITNESS WHEREOF, </w:t>
      </w:r>
      <w:r>
        <w:rPr>
          <w:rFonts w:ascii="Times New Roman;Times;serif" w:hAnsi="Times New Roman;Times;serif"/>
          <w:color w:val="1F1F1F"/>
          <w:sz w:val="20"/>
        </w:rPr>
        <w:t xml:space="preserve">the </w:t>
      </w:r>
      <w:r>
        <w:rPr>
          <w:rFonts w:ascii="Times New Roman;Times;serif" w:hAnsi="Times New Roman;Times;serif"/>
          <w:color w:val="333333"/>
          <w:sz w:val="20"/>
        </w:rPr>
        <w:t xml:space="preserve">parties </w:t>
      </w:r>
      <w:r>
        <w:rPr>
          <w:rFonts w:ascii="Times New Roman;Times;serif" w:hAnsi="Times New Roman;Times;serif"/>
          <w:color w:val="1F1F1F"/>
          <w:sz w:val="20"/>
        </w:rPr>
        <w:t xml:space="preserve">hereto have executed this 2025 </w:t>
      </w:r>
      <w:r>
        <w:rPr>
          <w:rFonts w:ascii="Times New Roman;Times;serif" w:hAnsi="Times New Roman;Times;serif"/>
          <w:color w:val="333333"/>
          <w:sz w:val="20"/>
        </w:rPr>
        <w:t xml:space="preserve">Amendment </w:t>
      </w:r>
      <w:r>
        <w:rPr>
          <w:rFonts w:ascii="Times New Roman;Times;serif" w:hAnsi="Times New Roman;Times;serif"/>
          <w:color w:val="1F1F1F"/>
          <w:sz w:val="20"/>
        </w:rPr>
        <w:t xml:space="preserve">to the </w:t>
      </w:r>
      <w:r>
        <w:rPr>
          <w:rFonts w:ascii="Times New Roman;Times;serif" w:hAnsi="Times New Roman;Times;serif"/>
          <w:color w:val="333333"/>
          <w:sz w:val="20"/>
        </w:rPr>
        <w:t xml:space="preserve">Amended and Restated Award Agreement </w:t>
      </w:r>
      <w:r>
        <w:rPr>
          <w:rFonts w:ascii="Times New Roman;Times;serif" w:hAnsi="Times New Roman;Times;serif"/>
          <w:color w:val="1F1F1F"/>
          <w:sz w:val="20"/>
        </w:rPr>
        <w:t>effective as of the date first written above.</w:t>
      </w:r>
    </w:p>
    <w:tbl>
      <w:tblPr>
        <w:tblW w:w="4971" w:type="dxa"/>
        <w:jc w:val="left"/>
        <w:tblInd w:w="0" w:type="dxa"/>
        <w:tblLayout w:type="fixed"/>
        <w:tblCellMar>
          <w:top w:w="0" w:type="dxa"/>
          <w:left w:w="0" w:type="dxa"/>
          <w:bottom w:w="0" w:type="dxa"/>
          <w:right w:w="0" w:type="dxa"/>
        </w:tblCellMar>
      </w:tblPr>
      <w:tblGrid>
        <w:gridCol w:w="124"/>
        <w:gridCol w:w="406"/>
        <w:gridCol w:w="44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78740" cy="175260"/>
                      <wp:effectExtent l="0" t="0" r="0" b="0"/>
                      <wp:wrapNone/>
                      <wp:docPr id="722" name="Frame72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57810" cy="175260"/>
                      <wp:effectExtent l="0" t="0" r="0" b="0"/>
                      <wp:wrapNone/>
                      <wp:docPr id="723" name="Frame72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820035" cy="175260"/>
                      <wp:effectExtent l="0" t="0" r="0" b="0"/>
                      <wp:wrapNone/>
                      <wp:docPr id="724" name="Frame722"/>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rFonts w:ascii="Times New Roman;Times;serif" w:hAnsi="Times New Roman;Times;serif"/>
                <w:color w:val="333333"/>
                <w:sz w:val="20"/>
              </w:rPr>
            </w:pPr>
            <w:r>
              <w:rPr>
                <w:rFonts w:ascii="Times New Roman;Times;serif" w:hAnsi="Times New Roman;Times;serif"/>
                <w:color w:val="333333"/>
                <w:sz w:val="20"/>
              </w:rPr>
              <w:t>OSI SYSTEMS, INC.</w:t>
            </w:r>
          </w:p>
        </w:tc>
      </w:tr>
      <w:tr>
        <w:trPr/>
        <w:tc>
          <w:tcPr>
            <w:tcW w:w="124"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color w:val="333333"/>
              </w:rPr>
            </w:pPr>
            <w:r>
              <w:rPr>
                <w:color w:val="333333"/>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Alan Edrick</w:t>
            </w:r>
          </w:p>
        </w:tc>
      </w:tr>
      <w:tr>
        <w:trPr/>
        <w:tc>
          <w:tcPr>
            <w:tcW w:w="124" w:type="dxa"/>
            <w:tcBorders/>
            <w:vAlign w:val="center"/>
          </w:tcPr>
          <w:p>
            <w:pPr>
              <w:pStyle w:val="TableContents"/>
              <w:bidi w:val="0"/>
              <w:spacing w:before="0" w:after="0"/>
              <w:ind w:left="0" w:right="0" w:hanging="0"/>
              <w:jc w:val="left"/>
              <w:rPr>
                <w:color w:val="333333"/>
              </w:rPr>
            </w:pPr>
            <w:r>
              <w:rPr>
                <w:color w:val="333333"/>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Alan </w:t>
            </w:r>
            <w:r>
              <w:rPr>
                <w:rFonts w:ascii="Times New Roman;Times;serif" w:hAnsi="Times New Roman;Times;serif"/>
                <w:color w:val="333333"/>
                <w:sz w:val="20"/>
              </w:rPr>
              <w:t>Edrick,</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center"/>
        <w:rPr/>
      </w:pPr>
      <w:r>
        <w:rPr/>
        <w:t>​</w:t>
      </w:r>
    </w:p>
    <w:tbl>
      <w:tblPr>
        <w:tblW w:w="2225" w:type="dxa"/>
        <w:jc w:val="center"/>
        <w:tblInd w:w="0" w:type="dxa"/>
        <w:tblLayout w:type="fixed"/>
        <w:tblCellMar>
          <w:top w:w="0" w:type="dxa"/>
          <w:left w:w="0" w:type="dxa"/>
          <w:bottom w:w="0" w:type="dxa"/>
          <w:right w:w="0" w:type="dxa"/>
        </w:tblCellMar>
      </w:tblPr>
      <w:tblGrid>
        <w:gridCol w:w="124"/>
        <w:gridCol w:w="210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78740" cy="175260"/>
                      <wp:effectExtent l="0" t="0" r="0" b="0"/>
                      <wp:wrapNone/>
                      <wp:docPr id="725" name="Frame72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ELIGIBLE EMPLOYEE</w:t>
            </w:r>
          </w:p>
        </w:tc>
      </w:tr>
      <w:tr>
        <w:trPr/>
        <w:tc>
          <w:tcPr>
            <w:tcW w:w="124"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Deepak Chopra</w:t>
            </w:r>
          </w:p>
        </w:tc>
      </w:tr>
      <w:tr>
        <w:trPr/>
        <w:tc>
          <w:tcPr>
            <w:tcW w:w="124" w:type="dxa"/>
            <w:tcBorders/>
            <w:vAlign w:val="center"/>
          </w:tcPr>
          <w:p>
            <w:pPr>
              <w:pStyle w:val="TableContents"/>
              <w:bidi w:val="0"/>
              <w:spacing w:before="0" w:after="0"/>
              <w:ind w:left="0" w:right="0" w:hanging="0"/>
              <w:jc w:val="left"/>
              <w:rPr/>
            </w:pPr>
            <w:r>
              <w:rPr/>
              <w:t>​</w:t>
            </w:r>
          </w:p>
        </w:tc>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Deepak Chopra</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376" w:name="osis-20260630xex18d1.htm"/>
      <w:bookmarkStart w:id="2377" w:name="ksosis20260630xex18d1"/>
      <w:bookmarkEnd w:id="2376"/>
      <w:bookmarkEnd w:id="2377"/>
      <w:r>
        <w:rPr>
          <w:rFonts w:ascii="Times New Roman;Times;serif" w:hAnsi="Times New Roman;Times;serif"/>
          <w:b/>
          <w:sz w:val="20"/>
        </w:rPr>
        <w:t>Exhibit 18.1</w:t>
      </w:r>
      <w:r>
        <w:br w:type="page"/>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21,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Systems,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12525 Chadron Avenue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Hawthorne, CA 90250</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Directors:</w:t>
      </w:r>
    </w:p>
    <w:p>
      <w:pPr>
        <w:pStyle w:val="TextBody"/>
        <w:bidi w:val="0"/>
        <w:spacing w:before="0" w:after="284"/>
        <w:ind w:left="0" w:right="0" w:hanging="0"/>
        <w:jc w:val="both"/>
        <w:rPr>
          <w:rFonts w:ascii="Times New Roman;Times;serif" w:hAnsi="Times New Roman;Times;serif"/>
          <w:sz w:val="20"/>
        </w:rPr>
      </w:pPr>
      <w:r>
        <w:rPr>
          <w:rFonts w:ascii="Times New Roman;Times;serif" w:hAnsi="Times New Roman;Times;serif"/>
          <w:sz w:val="20"/>
        </w:rPr>
        <w:t>We are providing this letter solely for inclusion as an exhibit to OSI Systems, Inc.’s (the “Company”) Form 10-K filing pursuant to Item 601 of Regulation S-K.</w:t>
      </w:r>
    </w:p>
    <w:p>
      <w:pPr>
        <w:pStyle w:val="TextBody"/>
        <w:bidi w:val="0"/>
        <w:spacing w:before="0" w:after="284"/>
        <w:ind w:left="0" w:right="0" w:hanging="0"/>
        <w:jc w:val="both"/>
        <w:rPr>
          <w:rFonts w:ascii="Times New Roman;Times;serif" w:hAnsi="Times New Roman;Times;serif"/>
          <w:sz w:val="20"/>
        </w:rPr>
      </w:pPr>
      <w:r>
        <w:rPr>
          <w:rFonts w:ascii="Times New Roman;Times;serif" w:hAnsi="Times New Roman;Times;serif"/>
          <w:sz w:val="20"/>
        </w:rPr>
        <w:t>We have audited the consolidated financial statements included in the Company’s Annual Report on Form 10-K for the year ended June 30, 2026, as set forth in our report dated August 21, 2026. As stated in Note 5 to those financial statements, the Company changed its method of applying the remaining performance obligation disclosure guidance in Accounting Standards Codification Topic 606, Revenue from Contracts with Customers, by no longer applying the optional exemption in ASC 606-10-50-14(a) that permits an entity to not disclose information about remaining performance obligations for performance obligations that are part of contracts with an original expected duration of one year or less. This change affects only the scope of the Company’s remaining performance obligation disclosure and does not affect the Company’s revenue recognition, results of operations, or financial position.</w:t>
      </w:r>
    </w:p>
    <w:p>
      <w:pPr>
        <w:pStyle w:val="TextBody"/>
        <w:bidi w:val="0"/>
        <w:spacing w:before="0" w:after="284"/>
        <w:ind w:left="0" w:right="0" w:hanging="0"/>
        <w:jc w:val="both"/>
        <w:rPr>
          <w:rFonts w:ascii="Times New Roman;Times;serif" w:hAnsi="Times New Roman;Times;serif"/>
          <w:sz w:val="20"/>
        </w:rPr>
      </w:pPr>
      <w:r>
        <w:rPr>
          <w:rFonts w:ascii="Times New Roman;Times;serif" w:hAnsi="Times New Roman;Times;serif"/>
          <w:sz w:val="20"/>
        </w:rPr>
        <w:t>Note 5 also states management’s belief that the newly adopted method of applying the remaining performance obligation disclosure guidance is preferable because it provides users of the financial statements with more complete information about the transaction price allocated to remaining performance obligations as of the reporting date.</w:t>
      </w:r>
    </w:p>
    <w:p>
      <w:pPr>
        <w:pStyle w:val="TextBody"/>
        <w:bidi w:val="0"/>
        <w:spacing w:before="0" w:after="284"/>
        <w:ind w:left="0" w:right="0" w:hanging="0"/>
        <w:jc w:val="both"/>
        <w:rPr>
          <w:rFonts w:ascii="Times New Roman;Times;serif" w:hAnsi="Times New Roman;Times;serif"/>
          <w:sz w:val="20"/>
        </w:rPr>
      </w:pPr>
      <w:r>
        <w:rPr>
          <w:rFonts w:ascii="Times New Roman;Times;serif" w:hAnsi="Times New Roman;Times;serif"/>
          <w:sz w:val="20"/>
        </w:rPr>
        <w:t>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business planning and judgment and on management’s determination that this change in method of applying the remaining performance obligation guidance is preferable.</w:t>
      </w:r>
    </w:p>
    <w:p>
      <w:pPr>
        <w:pStyle w:val="TextBody"/>
        <w:bidi w:val="0"/>
        <w:spacing w:before="0" w:after="284"/>
        <w:ind w:left="0" w:right="0" w:hanging="0"/>
        <w:jc w:val="both"/>
        <w:rPr>
          <w:rFonts w:ascii="Times New Roman;Times;serif" w:hAnsi="Times New Roman;Times;serif"/>
          <w:sz w:val="20"/>
        </w:rPr>
      </w:pPr>
      <w:r>
        <w:rPr>
          <w:rFonts w:ascii="Times New Roman;Times;serif" w:hAnsi="Times New Roman;Times;serif"/>
          <w:sz w:val="20"/>
        </w:rPr>
        <w:t>Based on our reading of management’s stated reasons and justification for this change in accounting principle in the Form 10-K, and our discussions with management as to their judgment about the relevant business planning factors relating to the change, we concur with management that the newly adopted method of applying the remaining performance obligation disclosure guidance is preferable in the Company’s circumstances.</w:t>
      </w:r>
    </w:p>
    <w:p>
      <w:pPr>
        <w:pStyle w:val="TextBody"/>
        <w:bidi w:val="0"/>
        <w:spacing w:before="0" w:after="284"/>
        <w:ind w:left="0" w:right="0" w:hanging="0"/>
        <w:jc w:val="both"/>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 Angeles, California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378" w:name="osis-20260630xex19d1.htm"/>
      <w:bookmarkStart w:id="2379" w:name="ksosis20260630xex19d1"/>
      <w:bookmarkEnd w:id="2378"/>
      <w:bookmarkEnd w:id="2379"/>
      <w:r>
        <w:rPr>
          <w:rFonts w:ascii="Times New Roman;Times;serif" w:hAnsi="Times New Roman;Times;serif"/>
          <w:b/>
          <w:sz w:val="20"/>
        </w:rPr>
        <w:t>Exhibit 19.1</w:t>
      </w:r>
      <w:r>
        <w:br w:type="page"/>
      </w:r>
    </w:p>
    <w:p>
      <w:pPr>
        <w:pStyle w:val="TextBody"/>
        <w:bidi w:val="0"/>
        <w:spacing w:before="0" w:after="0"/>
        <w:ind w:left="0" w:right="0" w:hanging="0"/>
        <w:jc w:val="right"/>
        <w:rPr/>
      </w:pPr>
      <w:r>
        <w:rPr/>
        <w:t>​</w:t>
      </w:r>
    </w:p>
    <w:p>
      <w:pPr>
        <w:pStyle w:val="TextBody"/>
        <w:pBdr/>
        <w:bidi w:val="0"/>
        <w:spacing w:before="0" w:after="207"/>
        <w:ind w:left="1061" w:right="700" w:hanging="10"/>
        <w:jc w:val="center"/>
        <w:rPr>
          <w:bdr w:val="single" w:sz="24" w:space="1" w:color="7F7F7F"/>
        </w:rPr>
      </w:pPr>
      <w:r>
        <w:rPr>
          <w:bdr w:val="single" w:sz="24" w:space="1" w:color="7F7F7F"/>
        </w:rPr>
        <w:drawing>
          <wp:inline distT="0" distB="0" distL="0" distR="0">
            <wp:extent cx="5486400" cy="956310"/>
            <wp:effectExtent l="0" t="0" r="0" b="0"/>
            <wp:docPr id="72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3" descr=""/>
                    <pic:cNvPicPr>
                      <a:picLocks noChangeAspect="1" noChangeArrowheads="1"/>
                    </pic:cNvPicPr>
                  </pic:nvPicPr>
                  <pic:blipFill>
                    <a:blip r:embed="rId30"/>
                    <a:stretch>
                      <a:fillRect/>
                    </a:stretch>
                  </pic:blipFill>
                  <pic:spPr bwMode="auto">
                    <a:xfrm>
                      <a:off x="0" y="0"/>
                      <a:ext cx="5486400" cy="956310"/>
                    </a:xfrm>
                    <a:prstGeom prst="rect">
                      <a:avLst/>
                    </a:prstGeom>
                  </pic:spPr>
                </pic:pic>
              </a:graphicData>
            </a:graphic>
          </wp:inline>
        </w:drawing>
      </w:r>
    </w:p>
    <w:tbl>
      <w:tblPr>
        <w:tblW w:w="6375" w:type="dxa"/>
        <w:jc w:val="center"/>
        <w:tblInd w:w="0" w:type="dxa"/>
        <w:tblLayout w:type="fixed"/>
        <w:tblCellMar>
          <w:top w:w="0" w:type="dxa"/>
          <w:left w:w="0" w:type="dxa"/>
          <w:bottom w:w="0" w:type="dxa"/>
          <w:right w:w="0" w:type="dxa"/>
        </w:tblCellMar>
      </w:tblPr>
      <w:tblGrid>
        <w:gridCol w:w="2599"/>
        <w:gridCol w:w="3776"/>
      </w:tblGrid>
      <w:tr>
        <w:trPr/>
        <w:tc>
          <w:tcPr>
            <w:tcW w:w="2599" w:type="dxa"/>
            <w:tcBorders/>
            <w:vAlign w:val="center"/>
          </w:tcPr>
          <w:p>
            <w:pPr>
              <w:pStyle w:val="TableContents"/>
              <w:bidi w:val="0"/>
              <w:spacing w:before="0" w:after="0"/>
              <w:ind w:left="0" w:right="0" w:hanging="0"/>
              <w:jc w:val="left"/>
              <w:rPr/>
            </w:pPr>
            <w:r>
              <w:rPr/>
              <w:t>​</w:t>
            </w:r>
          </w:p>
        </w:tc>
        <w:tc>
          <w:tcPr>
            <w:tcW w:w="3776" w:type="dxa"/>
            <w:tcBorders/>
            <w:vAlign w:val="center"/>
          </w:tcPr>
          <w:p>
            <w:pPr>
              <w:pStyle w:val="TableContents"/>
              <w:bidi w:val="0"/>
              <w:spacing w:before="0" w:after="0"/>
              <w:ind w:left="0" w:right="0" w:hanging="0"/>
              <w:jc w:val="left"/>
              <w:rPr/>
            </w:pPr>
            <w:r>
              <w:rPr/>
              <w:t>​</w:t>
            </w:r>
          </w:p>
        </w:tc>
      </w:tr>
      <w:tr>
        <w:trPr/>
        <w:tc>
          <w:tcPr>
            <w:tcW w:w="6375" w:type="dxa"/>
            <w:gridSpan w:val="2"/>
            <w:tcBorders/>
            <w:shd w:fill="ED1C26" w:val="clear"/>
            <w:vAlign w:val="center"/>
          </w:tcPr>
          <w:p>
            <w:pPr>
              <w:pStyle w:val="TableContents"/>
              <w:bidi w:val="0"/>
              <w:spacing w:before="0" w:after="0"/>
              <w:ind w:left="0" w:right="0" w:hanging="0"/>
              <w:jc w:val="center"/>
              <w:rPr>
                <w:rFonts w:ascii="Times New Roman;Times;serif" w:hAnsi="Times New Roman;Times;serif"/>
                <w:color w:val="FFFFFF"/>
                <w:sz w:val="36"/>
              </w:rPr>
            </w:pPr>
            <w:r>
              <w:rPr>
                <w:rFonts w:ascii="Times New Roman;Times;serif" w:hAnsi="Times New Roman;Times;serif"/>
                <w:color w:val="FFFFFF"/>
                <w:sz w:val="36"/>
              </w:rPr>
              <w:t>Global Insider Trading Compliance Policy</w:t>
            </w:r>
          </w:p>
        </w:tc>
      </w:tr>
      <w:tr>
        <w:trPr/>
        <w:tc>
          <w:tcPr>
            <w:tcW w:w="2599" w:type="dxa"/>
            <w:tcBorders/>
            <w:shd w:fill="A6A6A6" w:val="clear"/>
            <w:vAlign w:val="center"/>
          </w:tcPr>
          <w:p>
            <w:pPr>
              <w:pStyle w:val="TableContents"/>
              <w:bidi w:val="0"/>
              <w:spacing w:before="0" w:after="0"/>
              <w:ind w:left="0" w:right="0" w:hanging="0"/>
              <w:jc w:val="both"/>
              <w:rPr>
                <w:rFonts w:ascii="Times New Roman;Times;serif" w:hAnsi="Times New Roman;Times;serif"/>
                <w:color w:val="FFFFFF"/>
                <w:sz w:val="20"/>
              </w:rPr>
            </w:pPr>
            <w:r>
              <w:rPr>
                <w:rFonts w:ascii="Times New Roman;Times;serif" w:hAnsi="Times New Roman;Times;serif"/>
                <w:color w:val="FFFFFF"/>
                <w:sz w:val="20"/>
              </w:rPr>
              <w:t>Global Policy</w:t>
            </w:r>
          </w:p>
        </w:tc>
        <w:tc>
          <w:tcPr>
            <w:tcW w:w="3776" w:type="dxa"/>
            <w:tcBorders/>
            <w:shd w:fill="A6A6A6" w:val="clear"/>
            <w:vAlign w:val="center"/>
          </w:tcPr>
          <w:p>
            <w:pPr>
              <w:pStyle w:val="TableContents"/>
              <w:bidi w:val="0"/>
              <w:spacing w:before="0" w:after="0"/>
              <w:ind w:left="0" w:right="144" w:hanging="0"/>
              <w:jc w:val="right"/>
              <w:rPr>
                <w:rFonts w:ascii="Times New Roman;Times;serif" w:hAnsi="Times New Roman;Times;serif"/>
                <w:color w:val="FFFFFF"/>
                <w:sz w:val="20"/>
              </w:rPr>
            </w:pPr>
            <w:r>
              <w:rPr>
                <w:rFonts w:ascii="Times New Roman;Times;serif" w:hAnsi="Times New Roman;Times;serif"/>
                <w:color w:val="FFFFFF"/>
                <w:sz w:val="20"/>
              </w:rPr>
              <w:t>Revised July 2026</w:t>
            </w:r>
          </w:p>
        </w:tc>
      </w:tr>
    </w:tbl>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240"/>
        <w:ind w:left="1060" w:right="844" w:hanging="0"/>
        <w:jc w:val="center"/>
        <w:rPr>
          <w:rFonts w:ascii="Times New Roman;Times;serif" w:hAnsi="Times New Roman;Times;serif"/>
          <w:b/>
          <w:i/>
          <w:sz w:val="20"/>
          <w:bdr w:val="single" w:sz="24" w:space="1" w:color="7F7F7F"/>
        </w:rPr>
      </w:pPr>
      <w:r>
        <w:rPr>
          <w:rFonts w:ascii="Times New Roman;Times;serif" w:hAnsi="Times New Roman;Times;serif"/>
          <w:b/>
          <w:i/>
          <w:sz w:val="20"/>
          <w:bdr w:val="single" w:sz="24" w:space="1" w:color="7F7F7F"/>
        </w:rPr>
        <w:t>OSI Systems, Inc., its divisions, and subsidiaries (collectively, “OSI”) are committed to maintaining the highest ethical standards and complying with all applicable securities laws and regulations. OSI strictly prohibits trading in OSI or other securities while in possession of Material Non-Public Information.</w:t>
      </w:r>
    </w:p>
    <w:p>
      <w:pPr>
        <w:pStyle w:val="TextBody"/>
        <w:bidi w:val="0"/>
        <w:spacing w:before="0" w:after="240"/>
        <w:ind w:left="106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Objective</w:t>
      </w:r>
    </w:p>
    <w:p>
      <w:pPr>
        <w:pStyle w:val="TextBody"/>
        <w:bidi w:val="0"/>
        <w:spacing w:before="0" w:after="240"/>
        <w:ind w:left="1061" w:right="844" w:hanging="0"/>
        <w:jc w:val="left"/>
        <w:rPr>
          <w:rFonts w:ascii="Times New Roman;Times;serif" w:hAnsi="Times New Roman;Times;serif"/>
          <w:sz w:val="20"/>
          <w:bdr w:val="single" w:sz="24" w:space="1" w:color="7F7F7F"/>
        </w:rPr>
      </w:pPr>
      <w:r>
        <w:rPr>
          <w:rFonts w:ascii="Times New Roman;Times;serif" w:hAnsi="Times New Roman;Times;serif"/>
          <w:sz w:val="20"/>
          <w:bdr w:val="single" w:sz="24" w:space="1" w:color="7F7F7F"/>
        </w:rPr>
        <w:t>This Policy’s objective is to ensure fair and ethical trading practices, comply with all applicable securities laws and regulations, protect the integrity of the securities markets, and prevent the misuse or improper disclosure of Material Non-Public Information (MNPI).</w:t>
      </w:r>
    </w:p>
    <w:p>
      <w:pPr>
        <w:pStyle w:val="TextBody"/>
        <w:bidi w:val="0"/>
        <w:spacing w:before="0" w:after="240"/>
        <w:ind w:left="1061"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Scope</w:t>
      </w:r>
    </w:p>
    <w:p>
      <w:pPr>
        <w:pStyle w:val="TextBody"/>
        <w:bidi w:val="0"/>
        <w:spacing w:before="0" w:after="240"/>
        <w:ind w:left="1061" w:right="844" w:hanging="0"/>
        <w:jc w:val="left"/>
        <w:rPr>
          <w:rFonts w:ascii="Times New Roman;Times;serif" w:hAnsi="Times New Roman;Times;serif"/>
          <w:sz w:val="20"/>
          <w:bdr w:val="single" w:sz="24" w:space="1" w:color="7F7F7F"/>
        </w:rPr>
      </w:pPr>
      <w:r>
        <w:rPr>
          <w:rFonts w:ascii="Times New Roman;Times;serif" w:hAnsi="Times New Roman;Times;serif"/>
          <w:sz w:val="20"/>
          <w:bdr w:val="single" w:sz="24" w:space="1" w:color="7F7F7F"/>
        </w:rPr>
        <w:t>This Policy applies to all directors, employees, contractors, and part-time and temporary workers of OSI Systems and its global subsidiaries. Individuals subject to this Policy are responsible for ensuring compliance with respect to transactions in Company Securities that they directly or indirectly control, influence, direct, or beneficially own, including transactions conducted through trusts, controlled entities, joint accounts, or other accounts or arrangements attributable to them.</w:t>
      </w:r>
    </w:p>
    <w:tbl>
      <w:tblPr>
        <w:tblW w:w="8805" w:type="dxa"/>
        <w:jc w:val="left"/>
        <w:tblInd w:w="700" w:type="dxa"/>
        <w:tblLayout w:type="fixed"/>
        <w:tblCellMar>
          <w:top w:w="28" w:type="dxa"/>
          <w:left w:w="28" w:type="dxa"/>
          <w:bottom w:w="28" w:type="dxa"/>
          <w:right w:w="28" w:type="dxa"/>
        </w:tblCellMar>
      </w:tblPr>
      <w:tblGrid>
        <w:gridCol w:w="8805"/>
      </w:tblGrid>
      <w:tr>
        <w:trPr/>
        <w:tc>
          <w:tcPr>
            <w:tcW w:w="8805" w:type="dxa"/>
            <w:tcBorders>
              <w:top w:val="single" w:sz="2" w:space="0" w:color="000000"/>
              <w:left w:val="single" w:sz="2" w:space="0" w:color="000000"/>
              <w:bottom w:val="single" w:sz="2" w:space="0" w:color="000000"/>
              <w:right w:val="single" w:sz="2" w:space="0" w:color="000000"/>
            </w:tcBorders>
            <w:shd w:fill="FDBBBB" w:val="clear"/>
            <w:vAlign w:val="center"/>
          </w:tcPr>
          <w:p>
            <w:pPr>
              <w:pStyle w:val="TableContents"/>
              <w:bidi w:val="0"/>
              <w:spacing w:before="100" w:after="100"/>
              <w:ind w:left="0" w:right="0" w:hanging="0"/>
              <w:jc w:val="center"/>
              <w:rPr>
                <w:rFonts w:ascii="Times New Roman;Times;serif" w:hAnsi="Times New Roman;Times;serif"/>
                <w:b/>
                <w:sz w:val="20"/>
              </w:rPr>
            </w:pPr>
            <w:r>
              <w:rPr>
                <w:rFonts w:ascii="Times New Roman;Times;serif" w:hAnsi="Times New Roman;Times;serif"/>
                <w:b/>
                <w:sz w:val="20"/>
              </w:rPr>
              <w:t>Your Responsibilities</w:t>
            </w:r>
          </w:p>
          <w:p>
            <w:pPr>
              <w:pStyle w:val="TableContents"/>
              <w:bidi w:val="0"/>
              <w:spacing w:before="0" w:after="100"/>
              <w:ind w:left="115" w:right="0" w:hanging="0"/>
              <w:jc w:val="left"/>
              <w:rPr>
                <w:rFonts w:ascii="Times New Roman;Times;serif" w:hAnsi="Times New Roman;Times;serif"/>
                <w:sz w:val="20"/>
              </w:rPr>
            </w:pPr>
            <w:r>
              <w:rPr>
                <w:rFonts w:ascii="Times New Roman;Times;serif" w:hAnsi="Times New Roman;Times;serif"/>
                <w:sz w:val="20"/>
              </w:rPr>
              <w:t>You are responsible for ensuring that your actions comply with all applicable securities laws, regulations, and this Policy. Violations of law, regulation, or Policy may result in serious consequences, including civil and criminal penalties, fines, imprisonment, and disciplinary action by OSI, up to and including termination. If you are unsure about something, reach out to the Compliance Officer. We’re available to help you make the right decision and avoid unintended violations.</w:t>
            </w:r>
          </w:p>
        </w:tc>
      </w:tr>
    </w:tbl>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240"/>
        <w:ind w:left="1061" w:right="700"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Guidance at a Glance</w:t>
      </w:r>
    </w:p>
    <w:tbl>
      <w:tblPr>
        <w:tblW w:w="8805" w:type="dxa"/>
        <w:jc w:val="left"/>
        <w:tblInd w:w="700" w:type="dxa"/>
        <w:tblLayout w:type="fixed"/>
        <w:tblCellMar>
          <w:top w:w="0" w:type="dxa"/>
          <w:left w:w="0" w:type="dxa"/>
          <w:bottom w:w="0" w:type="dxa"/>
          <w:right w:w="0" w:type="dxa"/>
        </w:tblCellMar>
      </w:tblPr>
      <w:tblGrid>
        <w:gridCol w:w="23"/>
        <w:gridCol w:w="153"/>
        <w:gridCol w:w="860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guidance early. If you are unsure whether information is material or whether a transaction is permissible, consult with the Compliance Officer before acting;</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46"/>
        <w:gridCol w:w="861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 sensitive information. Be mindful of how and where OSI information is discussed and avoid sharing sensitive information in public spaces or with individuals who do not have a business need to know; and</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47"/>
        <w:gridCol w:w="861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mindful of timing and perception. Even when trading is permitted, consider how transactions may appear to others and avoid activity that could create the appearance of improper use of information.</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700" w:right="700" w:hanging="0"/>
        <w:jc w:val="left"/>
        <w:rPr>
          <w:bdr w:val="single" w:sz="24" w:space="1" w:color="7F7F7F"/>
        </w:rPr>
      </w:pPr>
      <w:r>
        <w:rPr>
          <w:bdr w:val="single" w:sz="24" w:space="1" w:color="7F7F7F"/>
        </w:rPr>
        <w:t>​</w:t>
      </w:r>
    </w:p>
    <w:p>
      <w:pPr>
        <w:pStyle w:val="TextBody"/>
        <w:bidi w:val="0"/>
        <w:spacing w:before="0" w:after="160"/>
        <w:ind w:left="700" w:right="700" w:hanging="0"/>
        <w:jc w:val="left"/>
        <w:rPr>
          <w:bdr w:val="single" w:sz="24" w:space="1" w:color="7F7F7F"/>
        </w:rPr>
      </w:pPr>
      <w:r>
        <w:rPr>
          <w:bdr w:val="single" w:sz="24" w:space="1" w:color="7F7F7F"/>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80" w:after="240"/>
        <w:ind w:left="1046" w:right="988" w:hanging="14"/>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Policy Requirements for Everyone</w:t>
      </w:r>
    </w:p>
    <w:tbl>
      <w:tblPr>
        <w:tblW w:w="8805" w:type="dxa"/>
        <w:jc w:val="left"/>
        <w:tblInd w:w="700" w:type="dxa"/>
        <w:tblLayout w:type="fixed"/>
        <w:tblCellMar>
          <w:top w:w="0" w:type="dxa"/>
          <w:left w:w="0" w:type="dxa"/>
          <w:bottom w:w="0" w:type="dxa"/>
          <w:right w:w="0" w:type="dxa"/>
        </w:tblCellMar>
      </w:tblPr>
      <w:tblGrid>
        <w:gridCol w:w="23"/>
        <w:gridCol w:w="145"/>
        <w:gridCol w:w="861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1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Comply with All Applicable Securities Laws and Regulations:</w:t>
            </w:r>
            <w:r>
              <w:rPr>
                <w:caps w:val="false"/>
                <w:smallCaps w:val="false"/>
              </w:rPr>
              <w:t xml:space="preserve"> </w:t>
            </w:r>
            <w:r>
              <w:rPr>
                <w:rFonts w:ascii="Times New Roman;Times;serif" w:hAnsi="Times New Roman;Times;serif"/>
                <w:b w:val="false"/>
                <w:i w:val="false"/>
                <w:caps w:val="false"/>
                <w:smallCaps w:val="false"/>
                <w:sz w:val="20"/>
              </w:rPr>
              <w:t>You are personally responsible for complying with all applicable securities laws and this Policy. Lack of awareness or intent does not excuse a violation;</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44"/>
        <w:gridCol w:w="861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1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Do Not Trade While in Possession of MNPI:</w:t>
            </w:r>
            <w:r>
              <w:rPr>
                <w:caps w:val="false"/>
                <w:smallCaps w:val="false"/>
              </w:rPr>
              <w:t xml:space="preserve"> </w:t>
            </w:r>
            <w:r>
              <w:rPr>
                <w:rFonts w:ascii="Times New Roman;Times;serif" w:hAnsi="Times New Roman;Times;serif"/>
                <w:b w:val="false"/>
                <w:i w:val="false"/>
                <w:caps w:val="false"/>
                <w:smallCaps w:val="false"/>
                <w:sz w:val="20"/>
              </w:rPr>
              <w:t>You must not buy, sell, or otherwise transact in Company Securities while in possession of MNPI. This restriction includes trading directly, through others, or through any controlled account;</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52"/>
        <w:gridCol w:w="860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60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Protect OSI’s MNPI:</w:t>
            </w:r>
            <w:r>
              <w:rPr>
                <w:caps w:val="false"/>
                <w:smallCaps w:val="false"/>
              </w:rPr>
              <w:t xml:space="preserve"> </w:t>
            </w:r>
            <w:r>
              <w:rPr>
                <w:rFonts w:ascii="Times New Roman;Times;serif" w:hAnsi="Times New Roman;Times;serif"/>
                <w:b w:val="false"/>
                <w:i w:val="false"/>
                <w:caps w:val="false"/>
                <w:smallCaps w:val="false"/>
                <w:sz w:val="20"/>
              </w:rPr>
              <w:t>You must maintain the confidentiality of OSI’s MNPI and use such information only for legitimate business purposes, not for personal gain;</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52"/>
        <w:gridCol w:w="860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60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No Tipping:</w:t>
            </w:r>
            <w:r>
              <w:rPr>
                <w:caps w:val="false"/>
                <w:smallCaps w:val="false"/>
              </w:rPr>
              <w:t xml:space="preserve"> </w:t>
            </w:r>
            <w:r>
              <w:rPr>
                <w:rFonts w:ascii="Times New Roman;Times;serif" w:hAnsi="Times New Roman;Times;serif"/>
                <w:b w:val="false"/>
                <w:i w:val="false"/>
                <w:caps w:val="false"/>
                <w:smallCaps w:val="false"/>
                <w:sz w:val="20"/>
              </w:rPr>
              <w:t>You must not share MNPI with others or recommend that another person buy, sell, or hold Company securities while you are aware of such information.</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38"/>
        <w:gridCol w:w="862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862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Protect MNPI Belonging to Other Companies:</w:t>
            </w:r>
            <w:r>
              <w:rPr>
                <w:caps w:val="false"/>
                <w:smallCaps w:val="false"/>
              </w:rPr>
              <w:t xml:space="preserve"> </w:t>
            </w:r>
            <w:r>
              <w:rPr>
                <w:rFonts w:ascii="Times New Roman;Times;serif" w:hAnsi="Times New Roman;Times;serif"/>
                <w:b w:val="false"/>
                <w:i w:val="false"/>
                <w:caps w:val="false"/>
                <w:smallCaps w:val="false"/>
                <w:sz w:val="20"/>
              </w:rPr>
              <w:t>You must not trade in the securities of any other company while in possession of MNPI about that company obtained through your work with OSI. You must also protect such information and not disclose it to others except as required for legitimate business purposes;</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54"/>
        <w:gridCol w:w="860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60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Report Potential Violations:</w:t>
            </w:r>
            <w:r>
              <w:rPr>
                <w:caps w:val="false"/>
                <w:smallCaps w:val="false"/>
              </w:rPr>
              <w:t xml:space="preserve"> </w:t>
            </w:r>
            <w:r>
              <w:rPr>
                <w:rFonts w:ascii="Times New Roman;Times;serif" w:hAnsi="Times New Roman;Times;serif"/>
                <w:b w:val="false"/>
                <w:i w:val="false"/>
                <w:caps w:val="false"/>
                <w:smallCaps w:val="false"/>
                <w:sz w:val="20"/>
              </w:rPr>
              <w:t>Promptly report known or suspected violations of this Policy or applicable securities laws through available reporting channels;</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39"/>
        <w:gridCol w:w="861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8619"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Complete All Required Training &amp; Acknowledgments:</w:t>
            </w:r>
            <w:r>
              <w:rPr>
                <w:caps w:val="false"/>
                <w:smallCaps w:val="false"/>
              </w:rPr>
              <w:t xml:space="preserve"> </w:t>
            </w:r>
            <w:r>
              <w:rPr>
                <w:rFonts w:ascii="Times New Roman;Times;serif" w:hAnsi="Times New Roman;Times;serif"/>
                <w:b w:val="false"/>
                <w:i w:val="false"/>
                <w:caps w:val="false"/>
                <w:smallCaps w:val="false"/>
                <w:sz w:val="20"/>
              </w:rPr>
              <w:t>Promptly complete all required insider trading training, policy acknowledgments, and related compliance activities. Failure to complete required training or acknowledgments may result in appropriate corrective action;</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48"/>
        <w:gridCol w:w="861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861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Follow Communication Restrictions:</w:t>
            </w:r>
            <w:r>
              <w:rPr>
                <w:caps w:val="false"/>
                <w:smallCaps w:val="false"/>
              </w:rPr>
              <w:t xml:space="preserve"> </w:t>
            </w:r>
            <w:r>
              <w:rPr>
                <w:rFonts w:ascii="Times New Roman;Times;serif" w:hAnsi="Times New Roman;Times;serif"/>
                <w:b w:val="false"/>
                <w:i w:val="false"/>
                <w:caps w:val="false"/>
                <w:smallCaps w:val="false"/>
                <w:sz w:val="20"/>
              </w:rPr>
              <w:t>You must not discuss or disclose OSI information to external parties, including the media and analysts, unless you are explicitly authorized to do so;</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48"/>
        <w:gridCol w:w="861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861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Comply with Blackout Periods:</w:t>
            </w:r>
            <w:r>
              <w:rPr>
                <w:caps w:val="false"/>
                <w:smallCaps w:val="false"/>
              </w:rPr>
              <w:t xml:space="preserve"> </w:t>
            </w:r>
            <w:r>
              <w:rPr>
                <w:rFonts w:ascii="Times New Roman;Times;serif" w:hAnsi="Times New Roman;Times;serif"/>
                <w:b w:val="false"/>
                <w:i w:val="false"/>
                <w:caps w:val="false"/>
                <w:smallCaps w:val="false"/>
                <w:sz w:val="20"/>
              </w:rPr>
              <w:t>You must not trade in Company Securities during any Blackout Period unless an exception has been explicitly approved in writing by the Compliance Officer;</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238"/>
        <w:gridCol w:w="852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852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No Prohibited Transactions:</w:t>
            </w:r>
            <w:r>
              <w:rPr>
                <w:caps w:val="false"/>
                <w:smallCaps w:val="false"/>
              </w:rPr>
              <w:t xml:space="preserve"> </w:t>
            </w:r>
            <w:r>
              <w:rPr>
                <w:rFonts w:ascii="Times New Roman;Times;serif" w:hAnsi="Times New Roman;Times;serif"/>
                <w:b w:val="false"/>
                <w:i w:val="false"/>
                <w:caps w:val="false"/>
                <w:smallCaps w:val="false"/>
                <w:sz w:val="20"/>
              </w:rPr>
              <w:t>You must not engage in speculative or high-risk transactions involving Company Securities, including: hedging or short selling Company Securities, trading in options, derivatives, or other related instruments, and transacting Company Securities on margin (except as permitted for approved transactions such as cashless exercise of employee stock options). Review OSI’s Corporate Governance Guidelines for more information about OSI’s prohibitions related to Hedging and Pledging; and</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244"/>
        <w:gridCol w:w="851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51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Ensure Compliance by Household Members &amp; Family Members:</w:t>
            </w:r>
            <w:r>
              <w:rPr>
                <w:caps w:val="false"/>
                <w:smallCaps w:val="false"/>
              </w:rPr>
              <w:t xml:space="preserve"> </w:t>
            </w:r>
            <w:r>
              <w:rPr>
                <w:rFonts w:ascii="Times New Roman;Times;serif" w:hAnsi="Times New Roman;Times;serif"/>
                <w:b w:val="false"/>
                <w:i w:val="false"/>
                <w:caps w:val="false"/>
                <w:smallCaps w:val="false"/>
                <w:sz w:val="20"/>
              </w:rPr>
              <w:t>You are responsible for ensuring that members of your household and family members understand the rules regarding insider trading and comply with this Policy, including Scheduled Blackout Periods and Special Blackout Periods.</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28" w:type="dxa"/>
          <w:left w:w="28" w:type="dxa"/>
          <w:bottom w:w="28" w:type="dxa"/>
          <w:right w:w="28" w:type="dxa"/>
        </w:tblCellMar>
      </w:tblPr>
      <w:tblGrid>
        <w:gridCol w:w="8805"/>
      </w:tblGrid>
      <w:tr>
        <w:trPr/>
        <w:tc>
          <w:tcPr>
            <w:tcW w:w="8805" w:type="dxa"/>
            <w:tcBorders>
              <w:top w:val="single" w:sz="2" w:space="0" w:color="000000"/>
              <w:left w:val="single" w:sz="2" w:space="0" w:color="000000"/>
              <w:bottom w:val="single" w:sz="2" w:space="0" w:color="000000"/>
              <w:right w:val="single" w:sz="2" w:space="0" w:color="000000"/>
            </w:tcBorders>
            <w:shd w:fill="C6D9F1" w:val="clear"/>
            <w:vAlign w:val="center"/>
          </w:tcPr>
          <w:p>
            <w:pPr>
              <w:pStyle w:val="TableContents"/>
              <w:bidi w:val="0"/>
              <w:spacing w:before="100" w:after="100"/>
              <w:ind w:left="0" w:right="0" w:hanging="0"/>
              <w:jc w:val="center"/>
              <w:rPr>
                <w:rFonts w:ascii="Times New Roman;Times;serif" w:hAnsi="Times New Roman;Times;serif"/>
                <w:b/>
                <w:sz w:val="20"/>
              </w:rPr>
            </w:pPr>
            <w:r>
              <w:rPr>
                <w:rFonts w:ascii="Times New Roman;Times;serif" w:hAnsi="Times New Roman;Times;serif"/>
                <w:b/>
                <w:sz w:val="20"/>
              </w:rPr>
              <w:t>Material Information</w:t>
            </w:r>
          </w:p>
          <w:p>
            <w:pPr>
              <w:pStyle w:val="TableContents"/>
              <w:bidi w:val="0"/>
              <w:spacing w:before="0" w:after="100"/>
              <w:ind w:left="115" w:right="0" w:hanging="0"/>
              <w:jc w:val="left"/>
              <w:rPr>
                <w:rFonts w:ascii="Times New Roman;Times;serif" w:hAnsi="Times New Roman;Times;serif"/>
                <w:sz w:val="20"/>
              </w:rPr>
            </w:pPr>
            <w:r>
              <w:rPr>
                <w:rFonts w:ascii="Times New Roman;Times;serif" w:hAnsi="Times New Roman;Times;serif"/>
                <w:sz w:val="20"/>
              </w:rPr>
              <w:t>Information is considered material if a reasonable investor would view it as important when deciding whether to buy, sell, or hold securities, or if it would likely affect the Company’s stock price if disclosed. Examples include financial results, major contracts, mergers or acquisitions, changes in senior management, significant litigation, and key product or regulatory developments. If you are unsure whether information is material or non-public, consult with the Compliance Officer.</w:t>
            </w:r>
          </w:p>
        </w:tc>
      </w:tr>
    </w:tbl>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1046" w:right="700" w:hanging="14"/>
        <w:jc w:val="left"/>
        <w:rPr>
          <w:bdr w:val="single" w:sz="24" w:space="1" w:color="7F7F7F"/>
        </w:rPr>
      </w:pPr>
      <w:r>
        <w:rPr>
          <w:bdr w:val="single" w:sz="24" w:space="1" w:color="7F7F7F"/>
        </w:rPr>
        <w:t>​</w:t>
      </w:r>
    </w:p>
    <w:tbl>
      <w:tblPr>
        <w:tblW w:w="8805" w:type="dxa"/>
        <w:jc w:val="left"/>
        <w:tblInd w:w="700" w:type="dxa"/>
        <w:tblLayout w:type="fixed"/>
        <w:tblCellMar>
          <w:top w:w="28" w:type="dxa"/>
          <w:left w:w="28" w:type="dxa"/>
          <w:bottom w:w="28" w:type="dxa"/>
          <w:right w:w="28" w:type="dxa"/>
        </w:tblCellMar>
      </w:tblPr>
      <w:tblGrid>
        <w:gridCol w:w="8805"/>
      </w:tblGrid>
      <w:tr>
        <w:trPr/>
        <w:tc>
          <w:tcPr>
            <w:tcW w:w="8805" w:type="dxa"/>
            <w:tcBorders>
              <w:top w:val="single" w:sz="2" w:space="0" w:color="000000"/>
              <w:left w:val="single" w:sz="2" w:space="0" w:color="000000"/>
              <w:bottom w:val="single" w:sz="2" w:space="0" w:color="000000"/>
              <w:right w:val="single" w:sz="2" w:space="0" w:color="000000"/>
            </w:tcBorders>
            <w:shd w:fill="D7E4BD" w:val="clear"/>
            <w:vAlign w:val="center"/>
          </w:tcPr>
          <w:p>
            <w:pPr>
              <w:pStyle w:val="TableContents"/>
              <w:bidi w:val="0"/>
              <w:spacing w:before="100" w:after="100"/>
              <w:ind w:left="0" w:right="0" w:hanging="0"/>
              <w:jc w:val="center"/>
              <w:rPr>
                <w:rFonts w:ascii="Times New Roman;Times;serif" w:hAnsi="Times New Roman;Times;serif"/>
                <w:b/>
                <w:sz w:val="20"/>
              </w:rPr>
            </w:pPr>
            <w:r>
              <w:rPr>
                <w:rFonts w:ascii="Times New Roman;Times;serif" w:hAnsi="Times New Roman;Times;serif"/>
                <w:b/>
                <w:sz w:val="20"/>
              </w:rPr>
              <w:t>Non-Public Information</w:t>
            </w:r>
          </w:p>
          <w:p>
            <w:pPr>
              <w:pStyle w:val="TableContents"/>
              <w:bidi w:val="0"/>
              <w:spacing w:before="0" w:after="100"/>
              <w:ind w:left="115" w:right="0" w:hanging="0"/>
              <w:jc w:val="left"/>
              <w:rPr>
                <w:rFonts w:ascii="Times New Roman;Times;serif" w:hAnsi="Times New Roman;Times;serif"/>
                <w:sz w:val="20"/>
              </w:rPr>
            </w:pPr>
            <w:r>
              <w:rPr>
                <w:rFonts w:ascii="Times New Roman;Times;serif" w:hAnsi="Times New Roman;Times;serif"/>
                <w:sz w:val="20"/>
              </w:rPr>
              <w:t>Non-Public Information is information that members of the investing public may not generally be able to access. Even after information is disclosed to the general public or the market, such information still may be considered non-public until it has been widely disseminated (such as through a press release or a filing with the Securities and Exchange Commission) and the market has had sufficient time to absorb and respond to such information. For this reason, trading may not resume until at least two full trading days have passed after such disclosures have been made.</w:t>
            </w:r>
          </w:p>
        </w:tc>
      </w:tr>
    </w:tbl>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240"/>
        <w:ind w:left="106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Identification of Designated Insiders</w:t>
      </w:r>
    </w:p>
    <w:p>
      <w:pPr>
        <w:pStyle w:val="TextBody"/>
        <w:bidi w:val="0"/>
        <w:spacing w:before="0" w:after="240"/>
        <w:ind w:left="1060" w:right="844" w:hanging="0"/>
        <w:jc w:val="left"/>
        <w:rPr>
          <w:rFonts w:ascii="Times New Roman;Times;serif" w:hAnsi="Times New Roman;Times;serif"/>
          <w:sz w:val="20"/>
          <w:bdr w:val="single" w:sz="24" w:space="1" w:color="7F7F7F"/>
        </w:rPr>
      </w:pPr>
      <w:r>
        <w:rPr>
          <w:rFonts w:ascii="Times New Roman;Times;serif" w:hAnsi="Times New Roman;Times;serif"/>
          <w:sz w:val="20"/>
          <w:bdr w:val="single" w:sz="24" w:space="1" w:color="7F7F7F"/>
        </w:rPr>
        <w:t>To support compliance with applicable securities laws, regulations, and this Policy, OSI has identified specific individuals (collectively “Designated Insiders”) who must follow additional pre-clearance procedures and comply with additional trading restrictions. Designated Insiders include Members of the Company’s Board of Directors, Section 16 Officers (those Company employees designated as Section 16 officers in writing by the Board of Directors), and any other person designated by the Compliance Officer in writing, after consultation with the General Counsel and Chief Financial Officer.</w:t>
      </w:r>
    </w:p>
    <w:p>
      <w:pPr>
        <w:pStyle w:val="TextBody"/>
        <w:bidi w:val="0"/>
        <w:spacing w:before="0" w:after="240"/>
        <w:ind w:left="106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Additional Policy Requirements for Designated Insiders</w:t>
      </w:r>
    </w:p>
    <w:p>
      <w:pPr>
        <w:pStyle w:val="TextBody"/>
        <w:bidi w:val="0"/>
        <w:spacing w:before="0" w:after="240"/>
        <w:ind w:left="1060" w:right="844" w:hanging="0"/>
        <w:jc w:val="left"/>
        <w:rPr>
          <w:rFonts w:ascii="Times New Roman;Times;serif" w:hAnsi="Times New Roman;Times;serif"/>
          <w:sz w:val="20"/>
          <w:u w:val="single"/>
          <w:bdr w:val="single" w:sz="24" w:space="1" w:color="7F7F7F"/>
        </w:rPr>
      </w:pPr>
      <w:r>
        <w:rPr>
          <w:rFonts w:ascii="Times New Roman;Times;serif" w:hAnsi="Times New Roman;Times;serif"/>
          <w:sz w:val="20"/>
          <w:u w:val="single"/>
          <w:bdr w:val="single" w:sz="24" w:space="1" w:color="7F7F7F"/>
        </w:rPr>
        <w:t>In addition to all other requirements established in this Policy on page 2, Designated Insiders must also comply with the following additional policy requirements:</w:t>
      </w:r>
    </w:p>
    <w:tbl>
      <w:tblPr>
        <w:tblW w:w="8805" w:type="dxa"/>
        <w:jc w:val="left"/>
        <w:tblInd w:w="700" w:type="dxa"/>
        <w:tblLayout w:type="fixed"/>
        <w:tblCellMar>
          <w:top w:w="0" w:type="dxa"/>
          <w:left w:w="0" w:type="dxa"/>
          <w:bottom w:w="0" w:type="dxa"/>
          <w:right w:w="0" w:type="dxa"/>
        </w:tblCellMar>
      </w:tblPr>
      <w:tblGrid>
        <w:gridCol w:w="23"/>
        <w:gridCol w:w="133"/>
        <w:gridCol w:w="862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Obtain Pre</w:t>
            </w:r>
            <w:r>
              <w:rPr>
                <w:caps w:val="false"/>
                <w:smallCaps w:val="false"/>
              </w:rPr>
              <w:noBreakHyphen/>
            </w:r>
            <w:r>
              <w:rPr>
                <w:rFonts w:ascii="Times New Roman;Times;serif" w:hAnsi="Times New Roman;Times;serif"/>
                <w:b/>
                <w:i w:val="false"/>
                <w:caps w:val="false"/>
                <w:smallCaps w:val="false"/>
                <w:sz w:val="20"/>
              </w:rPr>
              <w:t>Clearance Before Trading:</w:t>
            </w:r>
            <w:r>
              <w:rPr>
                <w:caps w:val="false"/>
                <w:smallCaps w:val="false"/>
              </w:rPr>
              <w:t xml:space="preserve"> </w:t>
            </w:r>
            <w:r>
              <w:rPr>
                <w:rFonts w:ascii="Times New Roman;Times;serif" w:hAnsi="Times New Roman;Times;serif"/>
                <w:b w:val="false"/>
                <w:i w:val="false"/>
                <w:caps w:val="false"/>
                <w:smallCaps w:val="false"/>
                <w:sz w:val="20"/>
              </w:rPr>
              <w:t>Following the requirements established in the Global Insider Trading Compliance Procedure, Designated Insiders must not initiate or instruct any transaction in Company Securities unless and until written pre</w:t>
            </w:r>
            <w:r>
              <w:rPr>
                <w:caps w:val="false"/>
                <w:smallCaps w:val="false"/>
              </w:rPr>
              <w:noBreakHyphen/>
            </w:r>
            <w:r>
              <w:rPr>
                <w:rFonts w:ascii="Times New Roman;Times;serif" w:hAnsi="Times New Roman;Times;serif"/>
                <w:b w:val="false"/>
                <w:i w:val="false"/>
                <w:caps w:val="false"/>
                <w:smallCaps w:val="false"/>
                <w:sz w:val="20"/>
              </w:rPr>
              <w:t>clearance approval has been obtained from the Compliance Officer. Once granted, pre</w:t>
            </w:r>
            <w:r>
              <w:rPr>
                <w:caps w:val="false"/>
                <w:smallCaps w:val="false"/>
              </w:rPr>
              <w:noBreakHyphen/>
            </w:r>
            <w:r>
              <w:rPr>
                <w:rFonts w:ascii="Times New Roman;Times;serif" w:hAnsi="Times New Roman;Times;serif"/>
                <w:b w:val="false"/>
                <w:i w:val="false"/>
                <w:caps w:val="false"/>
                <w:smallCaps w:val="false"/>
                <w:sz w:val="20"/>
              </w:rPr>
              <w:t>clearance approval is valid only through the end of the fifth trading day following approval, unless otherwise specified by the Compliance Officer;</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46"/>
        <w:gridCol w:w="861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Report Completed Trades:</w:t>
            </w:r>
            <w:r>
              <w:rPr>
                <w:caps w:val="false"/>
                <w:smallCaps w:val="false"/>
              </w:rPr>
              <w:t xml:space="preserve"> </w:t>
            </w:r>
            <w:r>
              <w:rPr>
                <w:rFonts w:ascii="Times New Roman;Times;serif" w:hAnsi="Times New Roman;Times;serif"/>
                <w:b w:val="false"/>
                <w:i w:val="false"/>
                <w:caps w:val="false"/>
                <w:smallCaps w:val="false"/>
                <w:sz w:val="20"/>
              </w:rPr>
              <w:t>Designated Insiders must provide written confirmation to the Compliance Officer within two trading days following the completion of any approved transaction in Company Securities;</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40"/>
        <w:gridCol w:w="861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618"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File Required Securities Reports:</w:t>
            </w:r>
            <w:r>
              <w:rPr>
                <w:caps w:val="false"/>
                <w:smallCaps w:val="false"/>
              </w:rPr>
              <w:t xml:space="preserve"> </w:t>
            </w:r>
            <w:r>
              <w:rPr>
                <w:rFonts w:ascii="Times New Roman;Times;serif" w:hAnsi="Times New Roman;Times;serif"/>
                <w:b w:val="false"/>
                <w:i w:val="false"/>
                <w:caps w:val="false"/>
                <w:smallCaps w:val="false"/>
                <w:sz w:val="20"/>
              </w:rPr>
              <w:t>Certain Designated Insiders, including Directors and Section 16 Officers, must comply with applicable securities reporting obligations under law. OSI may, at its discretion, provide administrative support for completing and filing such reports; and</w:t>
            </w:r>
          </w:p>
        </w:tc>
        <w:tc>
          <w:tcPr>
            <w:tcW w:w="24" w:type="dxa"/>
            <w:tcBorders/>
            <w:vAlign w:val="center"/>
          </w:tcPr>
          <w:p>
            <w:pPr>
              <w:pStyle w:val="TableContents"/>
              <w:bidi w:val="0"/>
              <w:spacing w:before="0" w:after="283"/>
              <w:jc w:val="left"/>
              <w:rPr>
                <w:sz w:val="4"/>
                <w:szCs w:val="4"/>
              </w:rPr>
            </w:pPr>
            <w:r>
              <w:rPr>
                <w:sz w:val="4"/>
                <w:szCs w:val="4"/>
              </w:rPr>
            </w:r>
          </w:p>
        </w:tc>
      </w:tr>
    </w:tbl>
    <w:tbl>
      <w:tblPr>
        <w:tblW w:w="8805" w:type="dxa"/>
        <w:jc w:val="left"/>
        <w:tblInd w:w="700" w:type="dxa"/>
        <w:tblLayout w:type="fixed"/>
        <w:tblCellMar>
          <w:top w:w="0" w:type="dxa"/>
          <w:left w:w="0" w:type="dxa"/>
          <w:bottom w:w="0" w:type="dxa"/>
          <w:right w:w="0" w:type="dxa"/>
        </w:tblCellMar>
      </w:tblPr>
      <w:tblGrid>
        <w:gridCol w:w="23"/>
        <w:gridCol w:w="143"/>
        <w:gridCol w:w="861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61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Adhere to 10b5-1 Plan Requirements (if applicable):</w:t>
            </w:r>
            <w:r>
              <w:rPr>
                <w:caps w:val="false"/>
                <w:smallCaps w:val="false"/>
              </w:rPr>
              <w:t xml:space="preserve"> </w:t>
            </w:r>
            <w:r>
              <w:rPr>
                <w:rFonts w:ascii="Times New Roman;Times;serif" w:hAnsi="Times New Roman;Times;serif"/>
                <w:b w:val="false"/>
                <w:i w:val="false"/>
                <w:caps w:val="false"/>
                <w:smallCaps w:val="false"/>
                <w:sz w:val="20"/>
              </w:rPr>
              <w:t>Any 10b5-1 trading plan must be established and executed in accordance with Policy requirements, including timing restrictions, pre-clearance, and compliance with applicable law.</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060" w:right="700" w:hanging="0"/>
        <w:jc w:val="left"/>
        <w:rPr>
          <w:bdr w:val="single" w:sz="24" w:space="1" w:color="7F7F7F"/>
        </w:rPr>
      </w:pPr>
      <w:r>
        <w:rPr>
          <w:bdr w:val="single" w:sz="24" w:space="1" w:color="7F7F7F"/>
        </w:rPr>
        <w:t>​</w:t>
      </w:r>
    </w:p>
    <w:p>
      <w:pPr>
        <w:pStyle w:val="TextBody"/>
        <w:bidi w:val="0"/>
        <w:spacing w:before="0" w:after="240"/>
        <w:ind w:left="106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Blackout Periods</w:t>
      </w:r>
    </w:p>
    <w:p>
      <w:pPr>
        <w:pStyle w:val="TextBody"/>
        <w:bidi w:val="0"/>
        <w:spacing w:before="0" w:after="240"/>
        <w:ind w:left="1060" w:right="844" w:hanging="0"/>
        <w:jc w:val="left"/>
        <w:rPr>
          <w:rFonts w:ascii="Times New Roman;Times;serif" w:hAnsi="Times New Roman;Times;serif"/>
          <w:sz w:val="20"/>
          <w:bdr w:val="single" w:sz="24" w:space="1" w:color="7F7F7F"/>
        </w:rPr>
      </w:pPr>
      <w:r>
        <w:rPr>
          <w:rFonts w:ascii="Times New Roman;Times;serif" w:hAnsi="Times New Roman;Times;serif"/>
          <w:sz w:val="20"/>
          <w:bdr w:val="single" w:sz="24" w:space="1" w:color="7F7F7F"/>
        </w:rPr>
        <w:t>To comply with applicable securities laws, regulations, and this Policy, you must not buy, sell, transfer, or otherwise trade in Company Securities during a blackout period unless explicitly approved in writing by the Compliance Officer. However, even outside of a blackout period, you are prohibited from trading at any time you possess MNPI.</w:t>
      </w:r>
    </w:p>
    <w:p>
      <w:pPr>
        <w:pStyle w:val="TextBody"/>
        <w:bidi w:val="0"/>
        <w:spacing w:before="0" w:after="240"/>
        <w:ind w:left="142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Scheduled Blackout Periods</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sz w:val="20"/>
          <w:bdr w:val="single" w:sz="24" w:space="1" w:color="7F7F7F"/>
        </w:rPr>
        <w:t>OSI has four recurring blackout periods aligned with its fiscal quarters. These blackout periods begin on the 16th day of the final month of each quarter (March, June, September, and December) and end after two full trading days following the public release of earnings. If earnings are released after trading begins, the blackout period ends after two full trading days, starting from the next trading day.</w:t>
      </w:r>
    </w:p>
    <w:p>
      <w:pPr>
        <w:pStyle w:val="TextBody"/>
        <w:bidi w:val="0"/>
        <w:spacing w:before="0" w:after="240"/>
        <w:ind w:left="142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Special Blackout Periods</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sz w:val="20"/>
          <w:bdr w:val="single" w:sz="24" w:space="1" w:color="7F7F7F"/>
        </w:rPr>
        <w:t>OSI may impose additional blackout periods for all or certain employees, as communicated by the Compliance Officer or another authorized officer. Individuals subject to a special blackout period must not disclose its existence to anyone else and must treat the fact that the special blackout period exists as MNPI.</w:t>
      </w:r>
    </w:p>
    <w:p>
      <w:pPr>
        <w:pStyle w:val="TextBody"/>
        <w:bidi w:val="0"/>
        <w:spacing w:before="0" w:after="240"/>
        <w:ind w:left="106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10b5-1 Trading Plans</w:t>
      </w:r>
    </w:p>
    <w:p>
      <w:pPr>
        <w:pStyle w:val="TextBody"/>
        <w:bidi w:val="0"/>
        <w:spacing w:before="0" w:after="240"/>
        <w:ind w:left="1060" w:right="844" w:hanging="0"/>
        <w:jc w:val="left"/>
        <w:rPr>
          <w:rFonts w:ascii="Times New Roman;Times;serif" w:hAnsi="Times New Roman;Times;serif"/>
          <w:sz w:val="20"/>
          <w:bdr w:val="single" w:sz="24" w:space="1" w:color="7F7F7F"/>
        </w:rPr>
      </w:pPr>
      <w:r>
        <w:rPr>
          <w:rFonts w:ascii="Times New Roman;Times;serif" w:hAnsi="Times New Roman;Times;serif"/>
          <w:sz w:val="20"/>
          <w:bdr w:val="single" w:sz="24" w:space="1" w:color="7F7F7F"/>
        </w:rPr>
        <w:t>Eligible directors and employees may wish to establish a 10b5-1 Trading Plan under which transactions in Company Securities may take place during a Blackout Period. However, the 10b5-1 Trading Plan may only be established during a non-Blackout Period and when the individual is not in possession of any MNPI about OSI. All modifications to a 10b5-1 Trading Plan, including termination before its natural expiration, are trading decisions subject to the pre-clearance procedures outlined above for Designated Insiders. Plan transactions that comply with a pre-approved trading plan will not require further pre-clearance at the time of the transaction. If you wish to establish a 10b5-1 Trading Plan, contact the Compliance Officer for approval.</w:t>
      </w:r>
    </w:p>
    <w:p>
      <w:pPr>
        <w:pStyle w:val="TextBody"/>
        <w:bidi w:val="0"/>
        <w:spacing w:before="0" w:after="240"/>
        <w:ind w:left="106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Enforcement</w:t>
      </w:r>
    </w:p>
    <w:p>
      <w:pPr>
        <w:pStyle w:val="TextBody"/>
        <w:bidi w:val="0"/>
        <w:spacing w:before="0" w:after="240"/>
        <w:ind w:left="1060" w:right="844" w:hanging="0"/>
        <w:jc w:val="left"/>
        <w:rPr>
          <w:rFonts w:ascii="Times New Roman;Times;serif" w:hAnsi="Times New Roman;Times;serif"/>
          <w:sz w:val="20"/>
          <w:bdr w:val="single" w:sz="24" w:space="1" w:color="7F7F7F"/>
        </w:rPr>
      </w:pPr>
      <w:r>
        <w:rPr>
          <w:rFonts w:ascii="Times New Roman;Times;serif" w:hAnsi="Times New Roman;Times;serif"/>
          <w:sz w:val="20"/>
          <w:bdr w:val="single" w:sz="24" w:space="1" w:color="7F7F7F"/>
        </w:rPr>
        <w:t>The Compliance Officer is responsible for administering this Policy, overseeing pre-clearance activities, supporting employee training and awareness efforts, and overseeing investigations of suspected violations. This Policy is strictly enforced by OSI. Violations will be investigated and may result in disciplinary action, up to and including termination of employment with OSI. Additionally, violations of securities laws or regulations may expose individuals to civil and criminal penalties, including fines and imprisonment. OSI may take appropriate action to cooperate with regulatory authorities, where required.</w:t>
      </w:r>
    </w:p>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240"/>
        <w:ind w:left="1060" w:right="844" w:hanging="0"/>
        <w:jc w:val="left"/>
        <w:rPr>
          <w:rFonts w:ascii="Times New Roman;Times;serif" w:hAnsi="Times New Roman;Times;serif"/>
          <w:b/>
          <w:sz w:val="20"/>
          <w:bdr w:val="single" w:sz="24" w:space="1" w:color="7F7F7F"/>
        </w:rPr>
      </w:pPr>
      <w:r>
        <w:rPr>
          <w:rFonts w:ascii="Times New Roman;Times;serif" w:hAnsi="Times New Roman;Times;serif"/>
          <w:b/>
          <w:sz w:val="20"/>
          <w:bdr w:val="single" w:sz="24" w:space="1" w:color="7F7F7F"/>
        </w:rPr>
        <w:t>Definitions</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b/>
          <w:sz w:val="20"/>
          <w:bdr w:val="single" w:sz="24" w:space="1" w:color="7F7F7F"/>
        </w:rPr>
        <w:t>Material Information:</w:t>
      </w:r>
      <w:r>
        <w:rPr>
          <w:rFonts w:ascii="Times New Roman;Times;serif" w:hAnsi="Times New Roman;Times;serif"/>
          <w:sz w:val="20"/>
          <w:bdr w:val="single" w:sz="24" w:space="1" w:color="7F7F7F"/>
        </w:rPr>
        <w:t xml:space="preserve"> Information that a reasonable investor would consider important when deciding whether to buy, sell, or hold a security, or information that would likely affect the market price of a security if disclosed publicly. </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b/>
          <w:sz w:val="20"/>
          <w:bdr w:val="single" w:sz="24" w:space="1" w:color="7F7F7F"/>
        </w:rPr>
        <w:t>Non-Public Information:</w:t>
      </w:r>
      <w:r>
        <w:rPr>
          <w:rFonts w:ascii="Times New Roman;Times;serif" w:hAnsi="Times New Roman;Times;serif"/>
          <w:sz w:val="20"/>
          <w:bdr w:val="single" w:sz="24" w:space="1" w:color="7F7F7F"/>
        </w:rPr>
        <w:t xml:space="preserve"> Information that has not been broadly disseminated to the investing public. Information may remain non-public even after initial public disclosure until sufficient time has passed for the market to absorb and evaluate the information.</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b/>
          <w:sz w:val="20"/>
          <w:bdr w:val="single" w:sz="24" w:space="1" w:color="7F7F7F"/>
        </w:rPr>
        <w:t>Material Non-Public Information (MNPI):</w:t>
      </w:r>
      <w:r>
        <w:rPr>
          <w:rFonts w:ascii="Times New Roman;Times;serif" w:hAnsi="Times New Roman;Times;serif"/>
          <w:sz w:val="20"/>
          <w:bdr w:val="single" w:sz="24" w:space="1" w:color="7F7F7F"/>
        </w:rPr>
        <w:t xml:space="preserve"> Information that is both Material Information and Non-Public Information.</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b/>
          <w:sz w:val="20"/>
          <w:bdr w:val="single" w:sz="24" w:space="1" w:color="7F7F7F"/>
        </w:rPr>
        <w:t>Designated Insider:</w:t>
      </w:r>
      <w:r>
        <w:rPr>
          <w:rFonts w:ascii="Times New Roman;Times;serif" w:hAnsi="Times New Roman;Times;serif"/>
          <w:sz w:val="20"/>
          <w:bdr w:val="single" w:sz="24" w:space="1" w:color="7F7F7F"/>
        </w:rPr>
        <w:t xml:space="preserve"> An individual designated by OSI as subject to additional insider trading restrictions, including pre-clearance requirements and other obligations established under this Policy and the Global Insider Trading Compliance Procedure.</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b/>
          <w:sz w:val="20"/>
          <w:bdr w:val="single" w:sz="24" w:space="1" w:color="7F7F7F"/>
        </w:rPr>
        <w:t>Company Securities:</w:t>
      </w:r>
      <w:r>
        <w:rPr>
          <w:rFonts w:ascii="Times New Roman;Times;serif" w:hAnsi="Times New Roman;Times;serif"/>
          <w:sz w:val="20"/>
          <w:bdr w:val="single" w:sz="24" w:space="1" w:color="7F7F7F"/>
        </w:rPr>
        <w:t xml:space="preserve"> Any security issued by OSI Systems, including common stock, stock options, restricted stock units, warrants, debt securities, and any derivative or other financial instrument tied to the value a security issued by OSI Systems.</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b/>
          <w:sz w:val="20"/>
          <w:bdr w:val="single" w:sz="24" w:space="1" w:color="7F7F7F"/>
        </w:rPr>
        <w:t>Compliance Officer:</w:t>
      </w:r>
      <w:r>
        <w:rPr>
          <w:rFonts w:ascii="Times New Roman;Times;serif" w:hAnsi="Times New Roman;Times;serif"/>
          <w:sz w:val="20"/>
          <w:bdr w:val="single" w:sz="24" w:space="1" w:color="7F7F7F"/>
        </w:rPr>
        <w:t xml:space="preserve"> For purposes of the Policy, the company’s highest ranking compliance officer shall serve as the Compliance Officer.</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b/>
          <w:sz w:val="20"/>
          <w:bdr w:val="single" w:sz="24" w:space="1" w:color="7F7F7F"/>
        </w:rPr>
        <w:t>Household Member:</w:t>
      </w:r>
      <w:r>
        <w:rPr>
          <w:rFonts w:ascii="Times New Roman;Times;serif" w:hAnsi="Times New Roman;Times;serif"/>
          <w:sz w:val="20"/>
          <w:bdr w:val="single" w:sz="24" w:space="1" w:color="7F7F7F"/>
        </w:rPr>
        <w:t xml:space="preserve"> Any person who resides in the same household as the individual employee, excluding landlords and tenants.</w:t>
      </w:r>
    </w:p>
    <w:p>
      <w:pPr>
        <w:pStyle w:val="TextBody"/>
        <w:bidi w:val="0"/>
        <w:spacing w:before="0" w:after="240"/>
        <w:ind w:left="1420" w:right="844" w:hanging="0"/>
        <w:jc w:val="left"/>
        <w:rPr>
          <w:rFonts w:ascii="Times New Roman;Times;serif" w:hAnsi="Times New Roman;Times;serif"/>
          <w:sz w:val="20"/>
          <w:bdr w:val="single" w:sz="24" w:space="1" w:color="7F7F7F"/>
        </w:rPr>
      </w:pPr>
      <w:r>
        <w:rPr>
          <w:rFonts w:ascii="Times New Roman;Times;serif" w:hAnsi="Times New Roman;Times;serif"/>
          <w:b/>
          <w:sz w:val="20"/>
          <w:bdr w:val="single" w:sz="24" w:space="1" w:color="7F7F7F"/>
        </w:rPr>
        <w:t>Family Member:</w:t>
      </w:r>
      <w:r>
        <w:rPr>
          <w:rFonts w:ascii="Times New Roman;Times;serif" w:hAnsi="Times New Roman;Times;serif"/>
          <w:sz w:val="20"/>
          <w:bdr w:val="single" w:sz="24" w:space="1" w:color="7F7F7F"/>
        </w:rPr>
        <w:t xml:space="preserve"> Any spouse, domestic partner, child, parent, sibling, grandparent, grandchild, parent-in-law, sibling-in-law, child-in-law, or other relative of the individual employee.</w:t>
      </w:r>
    </w:p>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00" w:right="700" w:hanging="0"/>
        <w:jc w:val="left"/>
        <w:rPr>
          <w:bdr w:val="single" w:sz="24" w:space="1" w:color="7F7F7F"/>
        </w:rPr>
      </w:pPr>
      <w:r>
        <w:rPr>
          <w:bdr w:val="single" w:sz="24" w:space="1" w:color="7F7F7F"/>
        </w:rPr>
        <w:t>​</w:t>
      </w:r>
    </w:p>
    <w:tbl>
      <w:tblPr>
        <w:tblW w:w="8805" w:type="dxa"/>
        <w:jc w:val="center"/>
        <w:tblInd w:w="0" w:type="dxa"/>
        <w:tblLayout w:type="fixed"/>
        <w:tblCellMar>
          <w:top w:w="28" w:type="dxa"/>
          <w:left w:w="28" w:type="dxa"/>
          <w:bottom w:w="28" w:type="dxa"/>
          <w:right w:w="28" w:type="dxa"/>
        </w:tblCellMar>
      </w:tblPr>
      <w:tblGrid>
        <w:gridCol w:w="8805"/>
      </w:tblGrid>
      <w:tr>
        <w:trPr/>
        <w:tc>
          <w:tcPr>
            <w:tcW w:w="88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drawing>
                <wp:inline distT="0" distB="0" distL="0" distR="0">
                  <wp:extent cx="2247265" cy="533400"/>
                  <wp:effectExtent l="0" t="0" r="0" b="0"/>
                  <wp:docPr id="7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4" descr=""/>
                          <pic:cNvPicPr>
                            <a:picLocks noChangeAspect="1" noChangeArrowheads="1"/>
                          </pic:cNvPicPr>
                        </pic:nvPicPr>
                        <pic:blipFill>
                          <a:blip r:embed="rId31"/>
                          <a:stretch>
                            <a:fillRect/>
                          </a:stretch>
                        </pic:blipFill>
                        <pic:spPr bwMode="auto">
                          <a:xfrm>
                            <a:off x="0" y="0"/>
                            <a:ext cx="2247265" cy="533400"/>
                          </a:xfrm>
                          <a:prstGeom prst="rect">
                            <a:avLst/>
                          </a:prstGeom>
                        </pic:spPr>
                      </pic:pic>
                    </a:graphicData>
                  </a:graphic>
                </wp:inline>
              </w:drawing>
            </w:r>
          </w:p>
          <w:p>
            <w:pPr>
              <w:pStyle w:val="TableContents"/>
              <w:bidi w:val="0"/>
              <w:spacing w:before="0" w:after="0"/>
              <w:ind w:left="0" w:right="0" w:hanging="0"/>
              <w:jc w:val="center"/>
              <w:rPr/>
            </w:pPr>
            <w:r>
              <w:rPr/>
              <w:t>​</w:t>
            </w:r>
          </w:p>
          <w:p>
            <w:pPr>
              <w:pStyle w:val="TableContents"/>
              <w:bidi w:val="0"/>
              <w:spacing w:before="0" w:after="140"/>
              <w:ind w:left="0" w:right="144" w:hanging="0"/>
              <w:jc w:val="center"/>
              <w:rPr>
                <w:rFonts w:ascii="Times New Roman;Times;serif" w:hAnsi="Times New Roman;Times;serif"/>
                <w:sz w:val="20"/>
              </w:rPr>
            </w:pPr>
            <w:r>
              <w:rPr>
                <w:rFonts w:ascii="Times New Roman;Times;serif" w:hAnsi="Times New Roman;Times;serif"/>
                <w:sz w:val="20"/>
              </w:rPr>
              <w:t>To report potential misconduct or unethical conduct, speak to your manager or a member of the Human Resources team. You may also file a report with the OSI Ethics Hotline at: http://osiethicshotline.com/</w:t>
            </w:r>
          </w:p>
        </w:tc>
      </w:tr>
    </w:tbl>
    <w:p>
      <w:pPr>
        <w:pStyle w:val="TextBody"/>
        <w:bidi w:val="0"/>
        <w:spacing w:before="0" w:after="0"/>
        <w:ind w:left="700" w:right="700" w:hanging="0"/>
        <w:jc w:val="left"/>
        <w:rPr>
          <w:bdr w:val="single" w:sz="24" w:space="1" w:color="7F7F7F"/>
        </w:rPr>
      </w:pPr>
      <w:r>
        <w:rPr>
          <w:bdr w:val="single" w:sz="24" w:space="1" w:color="7F7F7F"/>
        </w:rPr>
        <w:t>​</w:t>
      </w:r>
    </w:p>
    <w:tbl>
      <w:tblPr>
        <w:tblW w:w="8805" w:type="dxa"/>
        <w:jc w:val="center"/>
        <w:tblInd w:w="0" w:type="dxa"/>
        <w:tblLayout w:type="fixed"/>
        <w:tblCellMar>
          <w:top w:w="28" w:type="dxa"/>
          <w:left w:w="28" w:type="dxa"/>
          <w:bottom w:w="0" w:type="dxa"/>
          <w:right w:w="0" w:type="dxa"/>
        </w:tblCellMar>
      </w:tblPr>
      <w:tblGrid>
        <w:gridCol w:w="1301"/>
        <w:gridCol w:w="1263"/>
        <w:gridCol w:w="109"/>
        <w:gridCol w:w="6132"/>
      </w:tblGrid>
      <w:tr>
        <w:trPr/>
        <w:tc>
          <w:tcPr>
            <w:tcW w:w="1301" w:type="dxa"/>
            <w:tcBorders>
              <w:top w:val="single" w:sz="8" w:space="0" w:color="000000"/>
              <w:left w:val="single" w:sz="8" w:space="0" w:color="000000"/>
            </w:tcBorders>
            <w:vAlign w:val="center"/>
          </w:tcPr>
          <w:p>
            <w:pPr>
              <w:pStyle w:val="TableContents"/>
              <w:bidi w:val="0"/>
              <w:spacing w:before="40" w:after="40"/>
              <w:ind w:left="0" w:right="0" w:hanging="0"/>
              <w:jc w:val="left"/>
              <w:rPr/>
            </w:pPr>
            <w:r>
              <w:rPr/>
              <w:t>​</w:t>
            </w:r>
          </w:p>
        </w:tc>
        <w:tc>
          <w:tcPr>
            <w:tcW w:w="1263" w:type="dxa"/>
            <w:tcBorders>
              <w:top w:val="single" w:sz="8" w:space="0" w:color="000000"/>
            </w:tcBorders>
            <w:tcMar>
              <w:left w:w="0" w:type="dxa"/>
            </w:tcMar>
            <w:vAlign w:val="center"/>
          </w:tcPr>
          <w:p>
            <w:pPr>
              <w:pStyle w:val="TableContents"/>
              <w:bidi w:val="0"/>
              <w:spacing w:before="140" w:after="40"/>
              <w:ind w:left="0" w:right="0" w:hanging="0"/>
              <w:jc w:val="center"/>
              <w:rPr>
                <w:rFonts w:ascii="Times New Roman;Times;serif" w:hAnsi="Times New Roman;Times;serif"/>
                <w:b/>
                <w:sz w:val="20"/>
              </w:rPr>
            </w:pPr>
            <w:r>
              <w:rPr>
                <w:rFonts w:ascii="Times New Roman;Times;serif" w:hAnsi="Times New Roman;Times;serif"/>
                <w:b/>
                <w:sz w:val="20"/>
              </w:rPr>
              <w:t xml:space="preserve">Policy Information </w:t>
            </w:r>
          </w:p>
        </w:tc>
        <w:tc>
          <w:tcPr>
            <w:tcW w:w="109" w:type="dxa"/>
            <w:tcBorders>
              <w:top w:val="single" w:sz="8" w:space="0" w:color="000000"/>
            </w:tcBorders>
            <w:tcMar>
              <w:left w:w="0" w:type="dxa"/>
            </w:tcMar>
            <w:vAlign w:val="center"/>
          </w:tcPr>
          <w:p>
            <w:pPr>
              <w:pStyle w:val="TableContents"/>
              <w:bidi w:val="0"/>
              <w:spacing w:before="40" w:after="40"/>
              <w:ind w:left="0" w:right="0" w:hanging="0"/>
              <w:jc w:val="left"/>
              <w:rPr/>
            </w:pPr>
            <w:r>
              <w:rPr/>
              <w:t>​</w:t>
            </w:r>
          </w:p>
        </w:tc>
        <w:tc>
          <w:tcPr>
            <w:tcW w:w="6132" w:type="dxa"/>
            <w:tcBorders>
              <w:top w:val="single" w:sz="8" w:space="0" w:color="000000"/>
              <w:right w:val="single" w:sz="8" w:space="0" w:color="000000"/>
            </w:tcBorders>
            <w:tcMar>
              <w:left w:w="0" w:type="dxa"/>
              <w:right w:w="28" w:type="dxa"/>
            </w:tcMar>
            <w:vAlign w:val="center"/>
          </w:tcPr>
          <w:p>
            <w:pPr>
              <w:pStyle w:val="TableContents"/>
              <w:bidi w:val="0"/>
              <w:spacing w:before="40" w:after="40"/>
              <w:ind w:left="0" w:right="0" w:hanging="0"/>
              <w:jc w:val="left"/>
              <w:rPr/>
            </w:pPr>
            <w:r>
              <w:rPr/>
              <w:t>​</w:t>
            </w:r>
          </w:p>
        </w:tc>
      </w:tr>
      <w:tr>
        <w:trPr/>
        <w:tc>
          <w:tcPr>
            <w:tcW w:w="1301" w:type="dxa"/>
            <w:tcBorders>
              <w:left w:val="single" w:sz="8" w:space="0" w:color="000000"/>
              <w:bottom w:val="single" w:sz="8" w:space="0" w:color="000000"/>
            </w:tcBorders>
            <w:tcMar>
              <w:top w:w="0" w:type="dxa"/>
              <w:bottom w:w="28" w:type="dxa"/>
            </w:tcMar>
            <w:vAlign w:val="center"/>
          </w:tcPr>
          <w:p>
            <w:pPr>
              <w:pStyle w:val="TableContents"/>
              <w:bidi w:val="0"/>
              <w:spacing w:before="0" w:after="0"/>
              <w:ind w:left="0" w:right="0" w:hanging="0"/>
              <w:jc w:val="left"/>
              <w:rPr/>
            </w:pPr>
            <w:r>
              <w:rPr/>
              <w:t>​</w:t>
            </w:r>
          </w:p>
        </w:tc>
        <w:tc>
          <w:tcPr>
            <w:tcW w:w="1263" w:type="dxa"/>
            <w:tcBorders>
              <w:bottom w:val="single" w:sz="8" w:space="0" w:color="000000"/>
            </w:tcBorders>
            <w:tcMar>
              <w:top w:w="0" w:type="dxa"/>
              <w:left w:w="0" w:type="dxa"/>
              <w:bottom w:w="28" w:type="dxa"/>
            </w:tcMar>
            <w:vAlign w:val="center"/>
          </w:tcPr>
          <w:p>
            <w:pPr>
              <w:pStyle w:val="TableContents"/>
              <w:bidi w:val="0"/>
              <w:spacing w:before="0" w:after="0"/>
              <w:ind w:left="0" w:right="0" w:hanging="0"/>
              <w:jc w:val="left"/>
              <w:rPr/>
            </w:pPr>
            <w:r>
              <w:rPr/>
              <w:t>​</w:t>
            </w:r>
          </w:p>
        </w:tc>
        <w:tc>
          <w:tcPr>
            <w:tcW w:w="109" w:type="dxa"/>
            <w:tcBorders>
              <w:bottom w:val="single" w:sz="8" w:space="0" w:color="000000"/>
            </w:tcBorders>
            <w:tcMar>
              <w:top w:w="0" w:type="dxa"/>
              <w:left w:w="0" w:type="dxa"/>
              <w:bottom w:w="28" w:type="dxa"/>
            </w:tcMar>
            <w:vAlign w:val="center"/>
          </w:tcPr>
          <w:p>
            <w:pPr>
              <w:pStyle w:val="TableContents"/>
              <w:bidi w:val="0"/>
              <w:spacing w:before="0" w:after="0"/>
              <w:ind w:left="0" w:right="0" w:hanging="0"/>
              <w:jc w:val="left"/>
              <w:rPr/>
            </w:pPr>
            <w:r>
              <w:rPr/>
              <w:t>​</w:t>
            </w:r>
          </w:p>
        </w:tc>
        <w:tc>
          <w:tcPr>
            <w:tcW w:w="6132"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0"/>
              <w:ind w:left="0" w:right="0" w:hanging="0"/>
              <w:jc w:val="left"/>
              <w:rPr/>
            </w:pPr>
            <w:r>
              <w:rPr/>
              <w:t>​</w:t>
            </w:r>
          </w:p>
        </w:tc>
      </w:tr>
      <w:tr>
        <w:trPr/>
        <w:tc>
          <w:tcPr>
            <w:tcW w:w="1301"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140" w:after="0"/>
              <w:ind w:left="374" w:right="0" w:hanging="0"/>
              <w:jc w:val="left"/>
              <w:rPr>
                <w:rFonts w:ascii="Times New Roman;Times;serif" w:hAnsi="Times New Roman;Times;serif"/>
                <w:b/>
                <w:sz w:val="20"/>
              </w:rPr>
            </w:pPr>
            <w:r>
              <w:rPr>
                <w:rFonts w:ascii="Times New Roman;Times;serif" w:hAnsi="Times New Roman;Times;serif"/>
                <w:b/>
                <w:sz w:val="20"/>
              </w:rPr>
              <w:t>Policy Owner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OSI’s Compliance Department</w:t>
            </w:r>
          </w:p>
        </w:tc>
        <w:tc>
          <w:tcPr>
            <w:tcW w:w="1263" w:type="dxa"/>
            <w:tcBorders>
              <w:top w:val="single" w:sz="8" w:space="0" w:color="000000"/>
              <w:bottom w:val="single" w:sz="8" w:space="0" w:color="000000"/>
            </w:tcBorders>
            <w:tcMar>
              <w:left w:w="0" w:type="dxa"/>
              <w:bottom w:w="28" w:type="dxa"/>
            </w:tcMar>
            <w:vAlign w:val="center"/>
          </w:tcPr>
          <w:p>
            <w:pPr>
              <w:pStyle w:val="TableContents"/>
              <w:bidi w:val="0"/>
              <w:spacing w:before="140" w:after="0"/>
              <w:ind w:left="432" w:right="0" w:hanging="0"/>
              <w:jc w:val="left"/>
              <w:rPr>
                <w:rFonts w:ascii="Times New Roman;Times;serif" w:hAnsi="Times New Roman;Times;serif"/>
                <w:b/>
                <w:sz w:val="20"/>
              </w:rPr>
            </w:pPr>
            <w:r>
              <w:rPr>
                <w:rFonts w:ascii="Times New Roman;Times;serif" w:hAnsi="Times New Roman;Times;serif"/>
                <w:b/>
                <w:sz w:val="20"/>
              </w:rPr>
              <w:t>Initial Publication Date</w:t>
            </w:r>
          </w:p>
          <w:p>
            <w:pPr>
              <w:pStyle w:val="TableContents"/>
              <w:bidi w:val="0"/>
              <w:spacing w:before="0" w:after="0"/>
              <w:ind w:left="432" w:right="0" w:hanging="0"/>
              <w:jc w:val="left"/>
              <w:rPr>
                <w:rFonts w:ascii="Times New Roman;Times;serif" w:hAnsi="Times New Roman;Times;serif"/>
                <w:sz w:val="20"/>
              </w:rPr>
            </w:pPr>
            <w:r>
              <w:rPr>
                <w:rFonts w:ascii="Times New Roman;Times;serif" w:hAnsi="Times New Roman;Times;serif"/>
                <w:sz w:val="20"/>
              </w:rPr>
              <w:t>September 3, 2019</w:t>
            </w:r>
          </w:p>
          <w:p>
            <w:pPr>
              <w:pStyle w:val="TableContents"/>
              <w:bidi w:val="0"/>
              <w:spacing w:before="0" w:after="0"/>
              <w:ind w:left="432" w:right="0" w:hanging="0"/>
              <w:jc w:val="left"/>
              <w:rPr/>
            </w:pPr>
            <w:r>
              <w:rPr/>
              <w:t>​</w:t>
            </w:r>
          </w:p>
          <w:p>
            <w:pPr>
              <w:pStyle w:val="TableContents"/>
              <w:bidi w:val="0"/>
              <w:spacing w:before="0" w:after="0"/>
              <w:ind w:left="432" w:right="0" w:hanging="0"/>
              <w:jc w:val="left"/>
              <w:rPr>
                <w:rFonts w:ascii="Times New Roman;Times;serif" w:hAnsi="Times New Roman;Times;serif"/>
                <w:b/>
                <w:sz w:val="20"/>
              </w:rPr>
            </w:pPr>
            <w:r>
              <w:rPr>
                <w:rFonts w:ascii="Times New Roman;Times;serif" w:hAnsi="Times New Roman;Times;serif"/>
                <w:b/>
                <w:sz w:val="20"/>
              </w:rPr>
              <w:t>Review Cycle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Annual </w:t>
            </w:r>
          </w:p>
        </w:tc>
        <w:tc>
          <w:tcPr>
            <w:tcW w:w="109" w:type="dxa"/>
            <w:tcBorders>
              <w:top w:val="single" w:sz="8" w:space="0" w:color="000000"/>
              <w:bottom w:val="single" w:sz="8" w:space="0" w:color="000000"/>
            </w:tcBorders>
            <w:tcMar>
              <w:left w:w="0" w:type="dxa"/>
              <w:bottom w:w="28" w:type="dxa"/>
            </w:tcMar>
            <w:vAlign w:val="center"/>
          </w:tcPr>
          <w:p>
            <w:pPr>
              <w:pStyle w:val="TableContents"/>
              <w:bidi w:val="0"/>
              <w:spacing w:before="140" w:after="0"/>
              <w:ind w:left="0" w:right="0" w:hanging="0"/>
              <w:jc w:val="left"/>
              <w:rPr/>
            </w:pPr>
            <w:r>
              <w:rPr/>
              <w:t>​</w:t>
            </w:r>
          </w:p>
        </w:tc>
        <w:tc>
          <w:tcPr>
            <w:tcW w:w="6132"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140" w:after="0"/>
              <w:ind w:left="0" w:right="0" w:hanging="0"/>
              <w:jc w:val="left"/>
              <w:rPr>
                <w:rFonts w:ascii="Times New Roman;Times;serif" w:hAnsi="Times New Roman;Times;serif"/>
                <w:b/>
                <w:sz w:val="20"/>
              </w:rPr>
            </w:pPr>
            <w:r>
              <w:rPr>
                <w:rFonts w:ascii="Times New Roman;Times;serif" w:hAnsi="Times New Roman;Times;serif"/>
                <w:b/>
                <w:sz w:val="20"/>
              </w:rPr>
              <w:t>Scope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Policy applies to all directors, employees, contractors, and part-time and temporary workers of OSI Systems and its global subsidiaries. Individuals subject to this Policy are responsible for ensuring compliance with respect to transactions in Company Securities that they directly or indirectly control, influence, direct, or beneficially own, including transactions conducted through trusts, controlled entities, joint accounts, or other accounts or arrangements attributable to them.</w:t>
            </w:r>
          </w:p>
          <w:p>
            <w:pPr>
              <w:pStyle w:val="TableContents"/>
              <w:bidi w:val="0"/>
              <w:spacing w:before="140" w:after="0"/>
              <w:ind w:left="0" w:right="0" w:hanging="0"/>
              <w:jc w:val="left"/>
              <w:rPr/>
            </w:pPr>
            <w:r>
              <w:rPr/>
              <w:t>​</w:t>
            </w:r>
          </w:p>
        </w:tc>
      </w:tr>
    </w:tbl>
    <w:p>
      <w:pPr>
        <w:pStyle w:val="TextBody"/>
        <w:bidi w:val="0"/>
        <w:spacing w:before="0" w:after="0"/>
        <w:ind w:left="700" w:right="700" w:hanging="0"/>
        <w:jc w:val="left"/>
        <w:rPr>
          <w:bdr w:val="single" w:sz="24" w:space="1" w:color="7F7F7F"/>
        </w:rPr>
      </w:pPr>
      <w:r>
        <w:rPr>
          <w:bdr w:val="single" w:sz="24" w:space="1" w:color="7F7F7F"/>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80" w:name="osis-20260630xex21d1.htm"/>
      <w:bookmarkStart w:id="2381" w:name="ksosis20260630xex21d1"/>
      <w:bookmarkEnd w:id="2380"/>
      <w:bookmarkEnd w:id="2381"/>
      <w:r>
        <w:rPr>
          <w:rFonts w:ascii="Times New Roman;Times;serif" w:hAnsi="Times New Roman;Times;serif"/>
          <w:b/>
          <w:sz w:val="20"/>
        </w:rPr>
        <w:t>EXHIBIT 21.1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OSI SYSTEMS, INC.</w:t>
      </w:r>
    </w:p>
    <w:p>
      <w:pPr>
        <w:pStyle w:val="TextBody"/>
        <w:bidi w:val="0"/>
        <w:spacing w:before="0" w:after="0"/>
        <w:ind w:left="0" w:right="0" w:hanging="0"/>
        <w:jc w:val="left"/>
        <w:rPr/>
      </w:pPr>
      <w:r>
        <w:rPr/>
        <w:t>​</w:t>
      </w:r>
    </w:p>
    <w:tbl>
      <w:tblPr>
        <w:tblW w:w="8193" w:type="dxa"/>
        <w:jc w:val="left"/>
        <w:tblInd w:w="0" w:type="dxa"/>
        <w:tblLayout w:type="fixed"/>
        <w:tblCellMar>
          <w:top w:w="0" w:type="dxa"/>
          <w:left w:w="0" w:type="dxa"/>
          <w:bottom w:w="28" w:type="dxa"/>
          <w:right w:w="0" w:type="dxa"/>
        </w:tblCellMar>
      </w:tblPr>
      <w:tblGrid>
        <w:gridCol w:w="5956"/>
        <w:gridCol w:w="346"/>
        <w:gridCol w:w="1891"/>
      </w:tblGrid>
      <w:tr>
        <w:trPr/>
        <w:tc>
          <w:tcPr>
            <w:tcW w:w="595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89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w:t>
            </w:r>
          </w:p>
        </w:tc>
      </w:tr>
      <w:tr>
        <w:trPr/>
        <w:tc>
          <w:tcPr>
            <w:tcW w:w="595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Altaflex</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Science and Engineering Global de Mexico S. de R.L. de C.V.</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Science and Engineering,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Massachusetts</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AS&amp;E Global,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Massachusetts</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Aviation Security Management, LLC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Florida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Chassis Engineering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Continental Electronics Corporation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Nevada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 de Accessos y Seguridad Privada Gatekeeper, S. de R.L. de C.V.</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 Insights, LLC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CXR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ECIL-Rapiscan Security Products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Gatekeeper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Gatekeeper Inspection Technologies LLC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Virginia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Gatekeeper Security Middle East FTZ</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Arab Emirates</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International Holding,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Lenview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Lenview Property Development (Biddulph)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Billerica Holdings, LLC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Massachusetts</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Electronics de Mexico, S.A. de C.V.</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Electronics,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Electronics Pte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Electronics Sdh. Bhd.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Electronics (UK)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(Holdings) Company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Investment Egypt For Trading LLC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Egypt</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Optoelectronics,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Optoelectronics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Cyprus</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Optoelectronics Sdn. Bhd.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OSI Systems Private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PFC Flexible Circuits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PT OSI Electronics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Indonesia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PT OSI Systems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Indonesia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Quadratica (UK)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RAGGI-X Manutenção em Equipamentos Electrônicos LTDA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Rapiscan Australia Pty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Rapiscan Government Services,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Rapiscan Holdings,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9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Rapiscan Holdings Inc / Jordan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8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Jordan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853" w:type="dxa"/>
        <w:jc w:val="left"/>
        <w:tblInd w:w="0" w:type="dxa"/>
        <w:tblLayout w:type="fixed"/>
        <w:tblCellMar>
          <w:top w:w="0" w:type="dxa"/>
          <w:left w:w="0" w:type="dxa"/>
          <w:bottom w:w="0" w:type="dxa"/>
          <w:right w:w="0" w:type="dxa"/>
        </w:tblCellMar>
      </w:tblPr>
      <w:tblGrid>
        <w:gridCol w:w="6991"/>
        <w:gridCol w:w="346"/>
        <w:gridCol w:w="1516"/>
      </w:tblGrid>
      <w:tr>
        <w:trPr/>
        <w:tc>
          <w:tcPr>
            <w:tcW w:w="699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219325" cy="175260"/>
                      <wp:effectExtent l="0" t="0" r="0" b="0"/>
                      <wp:wrapNone/>
                      <wp:docPr id="728" name="Frame724"/>
                      <a:graphic xmlns:a="http://schemas.openxmlformats.org/drawingml/2006/main">
                        <a:graphicData uri="http://schemas.microsoft.com/office/word/2010/wordprocessingShape">
                          <wps:wsp>
                            <wps:cNvSpPr txBox="1"/>
                            <wps:spPr>
                              <a:xfrm>
                                <a:off x="0" y="0"/>
                                <a:ext cx="22193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481330" cy="175260"/>
                      <wp:effectExtent l="0" t="0" r="0" b="0"/>
                      <wp:wrapNone/>
                      <wp:docPr id="729" name="Frame725"/>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699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vAlign w:val="center"/>
          </w:tcPr>
          <w:p>
            <w:pPr>
              <w:pStyle w:val="TableHeading"/>
              <w:bidi w:val="0"/>
              <w:spacing w:before="0" w:after="0"/>
              <w:ind w:left="0" w:right="0" w:hanging="0"/>
              <w:jc w:val="left"/>
              <w:rPr/>
            </w:pPr>
            <w:r>
              <w:rPr/>
              <w:t>  ​ ​ ​</w:t>
            </w:r>
          </w:p>
        </w:tc>
        <w:tc>
          <w:tcPr>
            <w:tcW w:w="151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w:t>
            </w:r>
          </w:p>
        </w:tc>
      </w:tr>
      <w:tr>
        <w:trPr/>
        <w:tc>
          <w:tcPr>
            <w:tcW w:w="6991" w:type="dxa"/>
            <w:tcBorders>
              <w:top w:val="single" w:sz="2" w:space="0" w:color="000000"/>
            </w:tcBorders>
            <w:tcMar>
              <w:top w:w="28"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Laboratories, Inc.</w:t>
            </w:r>
          </w:p>
        </w:tc>
        <w:tc>
          <w:tcPr>
            <w:tcW w:w="346" w:type="dxa"/>
            <w:tcBorders/>
            <w:vAlign w:val="center"/>
          </w:tcPr>
          <w:p>
            <w:pPr>
              <w:pStyle w:val="TableHeading"/>
              <w:bidi w:val="0"/>
              <w:spacing w:before="0" w:after="0"/>
              <w:ind w:left="0" w:right="0" w:hanging="0"/>
              <w:jc w:val="left"/>
              <w:rPr/>
            </w:pPr>
            <w:r>
              <w:rPr/>
              <w:t>​</w:t>
            </w:r>
          </w:p>
        </w:tc>
        <w:tc>
          <w:tcPr>
            <w:tcW w:w="1516" w:type="dxa"/>
            <w:tcBorders>
              <w:top w:val="single" w:sz="2" w:space="0" w:color="000000"/>
            </w:tcBorders>
            <w:tcMar>
              <w:top w:w="28"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Delaware</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Mexico Holdings LLC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Delaware</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Services Egypt LLC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Egypt</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Canada Inc.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Canada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(Cyprus) Limited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Cyprus</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Electrical Trading LLC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Abu Dhabi</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GmbH</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Germany</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Hong Kong Limited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Hong Kong</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Inc.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California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Limited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United Kingdom</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Mexico S. de R.L. de C.V.</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Mexico</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Middle East Regional Headquarters Company LCC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Saudi Arabia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New Zealand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New Zealand</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Private Limited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India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(Private) Limited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Sri Lanka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Pte. Ltd.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Singapore</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Pty Ltd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Australia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Sdn. Bhd.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Malaysia</w:t>
            </w:r>
          </w:p>
        </w:tc>
      </w:tr>
      <w:tr>
        <w:trPr/>
        <w:tc>
          <w:tcPr>
            <w:tcW w:w="699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TURKEY GÜVENLİK TEKNOLOJİLERİ ANONİM ŞİRKETİ.</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Turkey</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Turkmen</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Turkmenistan</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S.A. de C.V.</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Mexico</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Rapiscan Systems, Unipessoal LDA</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Portugal</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Airport Services S. de R.L. de C.V.</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Mexico</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Albania</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Albania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Security, LLC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Delaware</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Global Ecuador S.A.S.</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Ecuador</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Global Healthcare, S. de R.L. de C.V.</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Mexico</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Global, Inc.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Delaware</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Global Panama, S.A.</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Panama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Global SAL</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Lebanon</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S2 Global Screening Solutions Limited </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Ireland</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Global Screening Solutions Sociedad Anonima</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Guatemala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Muscat LLC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Oman</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Screening Solutions, S. de R.L. de C.V.</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Mexico</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Secure Albania SH.P.K.</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Albania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Services, Ltd.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Cayman Islands</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S2 Services Puerto Rico, LLC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Puerto Rico</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SL Healthcare Limited</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Cyprus</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Healthcare (Canada), Inc.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Canada</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Healthcare GmbH</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Germany</w:t>
            </w:r>
          </w:p>
        </w:tc>
      </w:tr>
      <w:tr>
        <w:trPr/>
        <w:tc>
          <w:tcPr>
            <w:tcW w:w="6991"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Healthcare, Inc.</w:t>
            </w:r>
          </w:p>
        </w:tc>
        <w:tc>
          <w:tcPr>
            <w:tcW w:w="346" w:type="dxa"/>
            <w:tcBorders/>
            <w:vAlign w:val="center"/>
          </w:tcPr>
          <w:p>
            <w:pPr>
              <w:pStyle w:val="TableHeading"/>
              <w:bidi w:val="0"/>
              <w:spacing w:before="0" w:after="0"/>
              <w:ind w:left="0" w:right="0" w:hanging="0"/>
              <w:jc w:val="left"/>
              <w:rPr/>
            </w:pPr>
            <w:r>
              <w:rPr/>
              <w:t>​</w:t>
            </w:r>
          </w:p>
        </w:tc>
        <w:tc>
          <w:tcPr>
            <w:tcW w:w="151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Delaware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4428" w:type="dxa"/>
        <w:jc w:val="left"/>
        <w:tblInd w:w="0" w:type="dxa"/>
        <w:tblLayout w:type="fixed"/>
        <w:tblCellMar>
          <w:top w:w="0" w:type="dxa"/>
          <w:left w:w="0" w:type="dxa"/>
          <w:bottom w:w="28" w:type="dxa"/>
          <w:right w:w="0" w:type="dxa"/>
        </w:tblCellMar>
      </w:tblPr>
      <w:tblGrid>
        <w:gridCol w:w="2566"/>
        <w:gridCol w:w="346"/>
        <w:gridCol w:w="1516"/>
      </w:tblGrid>
      <w:tr>
        <w:trPr/>
        <w:tc>
          <w:tcPr>
            <w:tcW w:w="2566"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tcMar>
              <w:bottom w:w="0" w:type="dxa"/>
            </w:tcMar>
            <w:vAlign w:val="center"/>
          </w:tcPr>
          <w:p>
            <w:pPr>
              <w:pStyle w:val="TableHeading"/>
              <w:bidi w:val="0"/>
              <w:spacing w:before="0" w:after="0"/>
              <w:ind w:left="0" w:right="0" w:hanging="0"/>
              <w:jc w:val="left"/>
              <w:rPr/>
            </w:pPr>
            <w:r>
              <w:rPr/>
              <w:t>  ​ ​ ​</w:t>
            </w:r>
          </w:p>
        </w:tc>
        <w:tc>
          <w:tcPr>
            <w:tcW w:w="1516"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w:t>
            </w:r>
          </w:p>
        </w:tc>
      </w:tr>
      <w:tr>
        <w:trPr/>
        <w:tc>
          <w:tcPr>
            <w:tcW w:w="2566" w:type="dxa"/>
            <w:tcBorders>
              <w:top w:val="single" w:sz="2" w:space="0" w:color="000000"/>
            </w:tcBorders>
            <w:tcMar>
              <w:top w:w="28" w:type="dxa"/>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Healthcare, L.L.C.</w:t>
            </w:r>
          </w:p>
        </w:tc>
        <w:tc>
          <w:tcPr>
            <w:tcW w:w="346" w:type="dxa"/>
            <w:tcBorders/>
            <w:tcMar>
              <w:bottom w:w="0" w:type="dxa"/>
            </w:tcMar>
            <w:vAlign w:val="center"/>
          </w:tcPr>
          <w:p>
            <w:pPr>
              <w:pStyle w:val="TableHeading"/>
              <w:bidi w:val="0"/>
              <w:spacing w:before="0" w:after="0"/>
              <w:ind w:left="0" w:right="0" w:hanging="0"/>
              <w:jc w:val="left"/>
              <w:rPr/>
            </w:pPr>
            <w:r>
              <w:rPr/>
              <w:t>​</w:t>
            </w:r>
          </w:p>
        </w:tc>
        <w:tc>
          <w:tcPr>
            <w:tcW w:w="1516" w:type="dxa"/>
            <w:tcBorders>
              <w:top w:val="single" w:sz="2" w:space="0" w:color="000000"/>
            </w:tcBorders>
            <w:tcMar>
              <w:top w:w="28" w:type="dxa"/>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Washington</w:t>
            </w:r>
          </w:p>
        </w:tc>
      </w:tr>
      <w:tr>
        <w:trPr/>
        <w:tc>
          <w:tcPr>
            <w:tcW w:w="256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Healthcare Limited</w:t>
            </w:r>
          </w:p>
        </w:tc>
        <w:tc>
          <w:tcPr>
            <w:tcW w:w="346" w:type="dxa"/>
            <w:tcBorders/>
            <w:tcMar>
              <w:bottom w:w="0" w:type="dxa"/>
            </w:tcMar>
            <w:vAlign w:val="center"/>
          </w:tcPr>
          <w:p>
            <w:pPr>
              <w:pStyle w:val="TableHeading"/>
              <w:bidi w:val="0"/>
              <w:spacing w:before="0" w:after="0"/>
              <w:ind w:left="0" w:right="0" w:hanging="0"/>
              <w:jc w:val="left"/>
              <w:rPr/>
            </w:pPr>
            <w:r>
              <w:rPr/>
              <w:t>​</w:t>
            </w:r>
          </w:p>
        </w:tc>
        <w:tc>
          <w:tcPr>
            <w:tcW w:w="151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United Kingdom</w:t>
            </w:r>
          </w:p>
        </w:tc>
      </w:tr>
      <w:tr>
        <w:trPr/>
        <w:tc>
          <w:tcPr>
            <w:tcW w:w="256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Healthcare Pte. Ltd.</w:t>
            </w:r>
          </w:p>
        </w:tc>
        <w:tc>
          <w:tcPr>
            <w:tcW w:w="346" w:type="dxa"/>
            <w:tcBorders/>
            <w:tcMar>
              <w:bottom w:w="0" w:type="dxa"/>
            </w:tcMar>
            <w:vAlign w:val="center"/>
          </w:tcPr>
          <w:p>
            <w:pPr>
              <w:pStyle w:val="TableHeading"/>
              <w:bidi w:val="0"/>
              <w:spacing w:before="0" w:after="0"/>
              <w:ind w:left="0" w:right="0" w:hanging="0"/>
              <w:jc w:val="left"/>
              <w:rPr/>
            </w:pPr>
            <w:r>
              <w:rPr/>
              <w:t>​</w:t>
            </w:r>
          </w:p>
        </w:tc>
        <w:tc>
          <w:tcPr>
            <w:tcW w:w="151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Singapore</w:t>
            </w:r>
          </w:p>
        </w:tc>
      </w:tr>
      <w:tr>
        <w:trPr/>
        <w:tc>
          <w:tcPr>
            <w:tcW w:w="256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Healthcare SAS</w:t>
            </w:r>
          </w:p>
        </w:tc>
        <w:tc>
          <w:tcPr>
            <w:tcW w:w="346" w:type="dxa"/>
            <w:tcBorders/>
            <w:tcMar>
              <w:bottom w:w="0" w:type="dxa"/>
            </w:tcMar>
            <w:vAlign w:val="center"/>
          </w:tcPr>
          <w:p>
            <w:pPr>
              <w:pStyle w:val="TableHeading"/>
              <w:bidi w:val="0"/>
              <w:spacing w:before="0" w:after="0"/>
              <w:ind w:left="0" w:right="0" w:hanging="0"/>
              <w:jc w:val="left"/>
              <w:rPr/>
            </w:pPr>
            <w:r>
              <w:rPr/>
              <w:t>​</w:t>
            </w:r>
          </w:p>
        </w:tc>
        <w:tc>
          <w:tcPr>
            <w:tcW w:w="151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France</w:t>
            </w:r>
          </w:p>
        </w:tc>
      </w:tr>
      <w:tr>
        <w:trPr/>
        <w:tc>
          <w:tcPr>
            <w:tcW w:w="256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Healthcare s.r.l.</w:t>
            </w:r>
          </w:p>
        </w:tc>
        <w:tc>
          <w:tcPr>
            <w:tcW w:w="346" w:type="dxa"/>
            <w:tcBorders/>
            <w:tcMar>
              <w:bottom w:w="0" w:type="dxa"/>
            </w:tcMar>
            <w:vAlign w:val="center"/>
          </w:tcPr>
          <w:p>
            <w:pPr>
              <w:pStyle w:val="TableHeading"/>
              <w:bidi w:val="0"/>
              <w:spacing w:before="0" w:after="0"/>
              <w:ind w:left="0" w:right="0" w:hanging="0"/>
              <w:jc w:val="left"/>
              <w:rPr/>
            </w:pPr>
            <w:r>
              <w:rPr/>
              <w:t>​</w:t>
            </w:r>
          </w:p>
        </w:tc>
        <w:tc>
          <w:tcPr>
            <w:tcW w:w="151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Italy</w:t>
            </w:r>
          </w:p>
        </w:tc>
      </w:tr>
      <w:tr>
        <w:trPr/>
        <w:tc>
          <w:tcPr>
            <w:tcW w:w="256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Spacelabs Holdings, Inc.</w:t>
            </w:r>
          </w:p>
        </w:tc>
        <w:tc>
          <w:tcPr>
            <w:tcW w:w="346" w:type="dxa"/>
            <w:tcBorders/>
            <w:tcMar>
              <w:bottom w:w="0" w:type="dxa"/>
            </w:tcMar>
            <w:vAlign w:val="center"/>
          </w:tcPr>
          <w:p>
            <w:pPr>
              <w:pStyle w:val="TableHeading"/>
              <w:bidi w:val="0"/>
              <w:spacing w:before="0" w:after="0"/>
              <w:ind w:left="0" w:right="0" w:hanging="0"/>
              <w:jc w:val="left"/>
              <w:rPr/>
            </w:pPr>
            <w:r>
              <w:rPr/>
              <w:t>​</w:t>
            </w:r>
          </w:p>
        </w:tc>
        <w:tc>
          <w:tcPr>
            <w:tcW w:w="151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Delaware</w:t>
            </w:r>
          </w:p>
        </w:tc>
      </w:tr>
      <w:tr>
        <w:trPr/>
        <w:tc>
          <w:tcPr>
            <w:tcW w:w="2566" w:type="dxa"/>
            <w:tcBorders/>
            <w:tcMar>
              <w:bottom w:w="0"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Surveillance Health, LLC</w:t>
            </w:r>
          </w:p>
        </w:tc>
        <w:tc>
          <w:tcPr>
            <w:tcW w:w="346" w:type="dxa"/>
            <w:tcBorders/>
            <w:tcMar>
              <w:bottom w:w="0" w:type="dxa"/>
            </w:tcMar>
            <w:vAlign w:val="center"/>
          </w:tcPr>
          <w:p>
            <w:pPr>
              <w:pStyle w:val="TableHeading"/>
              <w:bidi w:val="0"/>
              <w:spacing w:before="0" w:after="0"/>
              <w:ind w:left="0" w:right="0" w:hanging="0"/>
              <w:jc w:val="left"/>
              <w:rPr/>
            </w:pPr>
            <w:r>
              <w:rPr/>
              <w:t>​</w:t>
            </w:r>
          </w:p>
        </w:tc>
        <w:tc>
          <w:tcPr>
            <w:tcW w:w="1516" w:type="dxa"/>
            <w:tcBorders/>
            <w:tcMar>
              <w:bottom w:w="0" w:type="dxa"/>
            </w:tcMar>
            <w:vAlign w:val="center"/>
          </w:tcPr>
          <w:p>
            <w:pPr>
              <w:pStyle w:val="TableHeading"/>
              <w:bidi w:val="0"/>
              <w:spacing w:before="0" w:after="0"/>
              <w:ind w:left="30" w:right="0" w:hanging="0"/>
              <w:jc w:val="left"/>
              <w:rPr>
                <w:rFonts w:ascii="Times New Roman;Times;serif" w:hAnsi="Times New Roman;Times;serif"/>
                <w:b w:val="false"/>
                <w:sz w:val="20"/>
              </w:rPr>
            </w:pPr>
            <w:r>
              <w:rPr>
                <w:rFonts w:ascii="Times New Roman;Times;serif" w:hAnsi="Times New Roman;Times;serif"/>
                <w:b w:val="false"/>
                <w:sz w:val="20"/>
              </w:rPr>
              <w:t>Washington</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82" w:name="osis-20260630xex23d1.htm"/>
      <w:bookmarkStart w:id="2383" w:name="ksosis20260630xex23d1"/>
      <w:bookmarkEnd w:id="2382"/>
      <w:bookmarkEnd w:id="2383"/>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issued our reports dated August 21, 2026, with respect to the consolidated financial statements, financial statement schedule and internal control over financial reporting included in the Annual Report of OSI Systems, Inc. on Form 10-K for the year ended June 30, 2026. We consent to the incorporation by reference of said reports in the Registration Statements of OSI Systems, Inc. on Forms S-3 (File Nos. 333-73618, 333-75228, 333-100791, 333-101716, 333-119704, and 333-148937) and Forms S-8 (File Nos. 333-45049, 333-69433, 333-106176, 333-122674, 333-132142, 333-148936, 333-157032, 333-173758, 333-190693, 333-213552, 333-222956, 333-252582, and 333-276715).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 Angeles, California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21,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84" w:name="osis-20260630xex31d1.htm"/>
      <w:bookmarkStart w:id="2385" w:name="ksosis20260630xex31d1"/>
      <w:bookmarkEnd w:id="2384"/>
      <w:bookmarkEnd w:id="238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Ajay Mehra, certify that:</w:t>
      </w:r>
    </w:p>
    <w:tbl>
      <w:tblPr>
        <w:tblW w:w="5935" w:type="dxa"/>
        <w:jc w:val="left"/>
        <w:tblInd w:w="0" w:type="dxa"/>
        <w:tblLayout w:type="fixed"/>
        <w:tblCellMar>
          <w:top w:w="0" w:type="dxa"/>
          <w:left w:w="0" w:type="dxa"/>
          <w:bottom w:w="0" w:type="dxa"/>
          <w:right w:w="0" w:type="dxa"/>
        </w:tblCellMar>
      </w:tblPr>
      <w:tblGrid>
        <w:gridCol w:w="170"/>
        <w:gridCol w:w="576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57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Annual Report on Form 10-K of OSI Systems,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258" w:type="dxa"/>
        <w:jc w:val="left"/>
        <w:tblInd w:w="0" w:type="dxa"/>
        <w:tblLayout w:type="fixed"/>
        <w:tblCellMar>
          <w:top w:w="0" w:type="dxa"/>
          <w:left w:w="0" w:type="dxa"/>
          <w:bottom w:w="0" w:type="dxa"/>
          <w:right w:w="0" w:type="dxa"/>
        </w:tblCellMar>
      </w:tblPr>
      <w:tblGrid>
        <w:gridCol w:w="1951"/>
        <w:gridCol w:w="346"/>
        <w:gridCol w:w="396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1238885" cy="175260"/>
                      <wp:effectExtent l="0" t="0" r="0" b="0"/>
                      <wp:wrapNone/>
                      <wp:docPr id="730" name="Frame72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2515235" cy="175260"/>
                      <wp:effectExtent l="0" t="0" r="0" b="0"/>
                      <wp:wrapNone/>
                      <wp:docPr id="731" name="Frame727"/>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21, 2026</w:t>
            </w:r>
          </w:p>
        </w:tc>
        <w:tc>
          <w:tcPr>
            <w:tcW w:w="346" w:type="dxa"/>
            <w:tcBorders/>
            <w:vAlign w:val="center"/>
          </w:tcPr>
          <w:p>
            <w:pPr>
              <w:pStyle w:val="TableContents"/>
              <w:bidi w:val="0"/>
              <w:spacing w:before="0" w:after="0"/>
              <w:ind w:left="0" w:right="0" w:hanging="0"/>
              <w:jc w:val="left"/>
              <w:rPr/>
            </w:pPr>
            <w:r>
              <w:rPr/>
              <w:t>  ​ ​ ​</w:t>
            </w:r>
          </w:p>
        </w:tc>
        <w:tc>
          <w:tcPr>
            <w:tcW w:w="396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AJAY MEHRA</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Ajay Mehra</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 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8640" w:right="0" w:hanging="0"/>
        <w:jc w:val="right"/>
        <w:rPr>
          <w:rFonts w:ascii="Times New Roman;Times;serif" w:hAnsi="Times New Roman;Times;serif"/>
          <w:b/>
          <w:sz w:val="20"/>
        </w:rPr>
      </w:pPr>
      <w:bookmarkStart w:id="2386" w:name="osis-20260630xex31d2.htm"/>
      <w:bookmarkStart w:id="2387" w:name="ksosis20260630xex31d2"/>
      <w:bookmarkEnd w:id="2386"/>
      <w:bookmarkEnd w:id="238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Alan Edrick, certify that:</w:t>
      </w:r>
    </w:p>
    <w:tbl>
      <w:tblPr>
        <w:tblW w:w="5935" w:type="dxa"/>
        <w:jc w:val="left"/>
        <w:tblInd w:w="0" w:type="dxa"/>
        <w:tblLayout w:type="fixed"/>
        <w:tblCellMar>
          <w:top w:w="0" w:type="dxa"/>
          <w:left w:w="0" w:type="dxa"/>
          <w:bottom w:w="0" w:type="dxa"/>
          <w:right w:w="0" w:type="dxa"/>
        </w:tblCellMar>
      </w:tblPr>
      <w:tblGrid>
        <w:gridCol w:w="170"/>
        <w:gridCol w:w="576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57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Annual Report on Form 10-K of OSI Systems,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501" w:type="dxa"/>
        <w:jc w:val="left"/>
        <w:tblInd w:w="0" w:type="dxa"/>
        <w:tblLayout w:type="fixed"/>
        <w:tblCellMar>
          <w:top w:w="0" w:type="dxa"/>
          <w:left w:w="0" w:type="dxa"/>
          <w:bottom w:w="0" w:type="dxa"/>
          <w:right w:w="0" w:type="dxa"/>
        </w:tblCellMar>
      </w:tblPr>
      <w:tblGrid>
        <w:gridCol w:w="1951"/>
        <w:gridCol w:w="109"/>
        <w:gridCol w:w="444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1238885" cy="175260"/>
                      <wp:effectExtent l="0" t="0" r="0" b="0"/>
                      <wp:wrapNone/>
                      <wp:docPr id="732" name="Frame728"/>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820035" cy="175260"/>
                      <wp:effectExtent l="0" t="0" r="0" b="0"/>
                      <wp:wrapNone/>
                      <wp:docPr id="733" name="Frame729"/>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21, 2026</w:t>
            </w:r>
          </w:p>
        </w:tc>
        <w:tc>
          <w:tcPr>
            <w:tcW w:w="109"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ALAN EDRICK</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Alan Edrick</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88" w:name="osis-20260630xex32d1.htm"/>
      <w:bookmarkStart w:id="2389" w:name="ksosis20260630xex32d1"/>
      <w:bookmarkEnd w:id="2388"/>
      <w:bookmarkEnd w:id="238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OSI Systems, Inc. (the “Company”) on Form 10-K for the year ended June 30, 2026 as filed with the Securities and Exchange Commission on the date hereof (the “Report”), I, Ajay Mehra, Chief Executive Officer of the Company, certify, pursuant to 18 U.S.C. Section 1350, as adopted pursuant to Section 906 of the Sarbanes-Oxley Act of 2002,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as amended; and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 at the dates and for the periods presented in the Report.</w:t>
      </w:r>
    </w:p>
    <w:p>
      <w:pPr>
        <w:pStyle w:val="TextBody"/>
        <w:bidi w:val="0"/>
        <w:spacing w:before="0" w:after="0"/>
        <w:ind w:left="0" w:right="0" w:hanging="0"/>
        <w:jc w:val="left"/>
        <w:rPr/>
      </w:pPr>
      <w:r>
        <w:rPr/>
        <w:t>​</w:t>
      </w:r>
    </w:p>
    <w:tbl>
      <w:tblPr>
        <w:tblW w:w="4446" w:type="dxa"/>
        <w:jc w:val="left"/>
        <w:tblInd w:w="0" w:type="dxa"/>
        <w:tblLayout w:type="fixed"/>
        <w:tblCellMar>
          <w:top w:w="0" w:type="dxa"/>
          <w:left w:w="0" w:type="dxa"/>
          <w:bottom w:w="0" w:type="dxa"/>
          <w:right w:w="0" w:type="dxa"/>
        </w:tblCellMar>
      </w:tblPr>
      <w:tblGrid>
        <w:gridCol w:w="1951"/>
        <w:gridCol w:w="109"/>
        <w:gridCol w:w="238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238885" cy="175260"/>
                      <wp:effectExtent l="0" t="0" r="0" b="0"/>
                      <wp:wrapNone/>
                      <wp:docPr id="734" name="Frame73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515110" cy="175260"/>
                      <wp:effectExtent l="0" t="0" r="0" b="0"/>
                      <wp:wrapNone/>
                      <wp:docPr id="735" name="Frame731"/>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21, 2026</w:t>
            </w:r>
          </w:p>
        </w:tc>
        <w:tc>
          <w:tcPr>
            <w:tcW w:w="109"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AJAY MEHRA</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Ajay Mehra</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written statement required by Section 906 of the Sarbanes-Oxley Act of 2002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390" w:name="osis-20260630xex32d2.htm"/>
      <w:bookmarkStart w:id="2391" w:name="ksosis20260630xex32d2"/>
      <w:bookmarkEnd w:id="2390"/>
      <w:bookmarkEnd w:id="239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Annual Report of OSI Systems, Inc. (the “Company”) on Form 10-K for the year ended June 30, 2026 as filed with the Securities and Exchange Commission on the date hereof (the “Report”), I, Alan Edrick, Chief Financial Officer of the Company, certify, pursuant to 18 U.S.C. Section 1350, as adopted pursuant to Section 906 of the Sarbanes-Oxley Act of 2002,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as amended;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 at the dates and for the periods presented in the Report.</w:t>
      </w:r>
    </w:p>
    <w:tbl>
      <w:tblPr>
        <w:tblW w:w="4461" w:type="dxa"/>
        <w:jc w:val="left"/>
        <w:tblInd w:w="0" w:type="dxa"/>
        <w:tblLayout w:type="fixed"/>
        <w:tblCellMar>
          <w:top w:w="0" w:type="dxa"/>
          <w:left w:w="0" w:type="dxa"/>
          <w:bottom w:w="0" w:type="dxa"/>
          <w:right w:w="0" w:type="dxa"/>
        </w:tblCellMar>
      </w:tblPr>
      <w:tblGrid>
        <w:gridCol w:w="1951"/>
        <w:gridCol w:w="109"/>
        <w:gridCol w:w="240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1238885" cy="175260"/>
                      <wp:effectExtent l="0" t="0" r="0" b="0"/>
                      <wp:wrapNone/>
                      <wp:docPr id="736" name="Frame732"/>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524635" cy="175260"/>
                      <wp:effectExtent l="0" t="0" r="0" b="0"/>
                      <wp:wrapNone/>
                      <wp:docPr id="737" name="Frame733"/>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21, 2026</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ALAN EDRICK</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Alan Edrick</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written statement required by Section 906 of the Sarbanes-Oxley Act of 2002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39065/000119312510050248/dex31.htm" TargetMode="External"/><Relationship Id="rId5" Type="http://schemas.openxmlformats.org/officeDocument/2006/relationships/hyperlink" Target="https://www.sec.gov/Archives/edgar/data/1039065/000110465923007515/osis-20221231xex3d1.htm" TargetMode="External"/><Relationship Id="rId6" Type="http://schemas.openxmlformats.org/officeDocument/2006/relationships/hyperlink" Target="https://www.sec.gov/Archives/edgar/data/1039065/000119312510050248/dex41.htm" TargetMode="External"/><Relationship Id="rId7" Type="http://schemas.openxmlformats.org/officeDocument/2006/relationships/hyperlink" Target="https://www.sec.gov/Archives/edgar/data/1039065/000110465924081153/tm2419714d1_ex4-1.htm" TargetMode="External"/><Relationship Id="rId8" Type="http://schemas.openxmlformats.org/officeDocument/2006/relationships/hyperlink" Target="https://www.sec.gov/Archives/edgar/data/1039065/000110465924081153/tm2419714d1_ex4-1.htm" TargetMode="External"/><Relationship Id="rId9" Type="http://schemas.openxmlformats.org/officeDocument/2006/relationships/hyperlink" Target="https://www.sec.gov/Archives/edgar/data/1039065/000110465925114644/tm2531837d1_ex4-1.htm" TargetMode="External"/><Relationship Id="rId10" Type="http://schemas.openxmlformats.org/officeDocument/2006/relationships/hyperlink" Target="https://www.sec.gov/Archives/edgar/data/1039065/000110465925114644/tm2531837d1_ex4-1.htm" TargetMode="External"/><Relationship Id="rId11" Type="http://schemas.openxmlformats.org/officeDocument/2006/relationships/hyperlink" Target="https://www.sec.gov/Archives/edgar/data/1039065/000110465924007226/osis-20231231xex10d1.htm" TargetMode="External"/><Relationship Id="rId12" Type="http://schemas.openxmlformats.org/officeDocument/2006/relationships/hyperlink" Target="https://www.sec.gov/Archives/edgar/data/1039065/000119312508209127/dex1020.htm" TargetMode="External"/><Relationship Id="rId13" Type="http://schemas.openxmlformats.org/officeDocument/2006/relationships/hyperlink" Target="https://www.sec.gov/Archives/edgar/data/1039065/000110465914073672/a14-20977_1ex10d1.htm" TargetMode="External"/><Relationship Id="rId14" Type="http://schemas.openxmlformats.org/officeDocument/2006/relationships/hyperlink" Target="https://www.sec.gov/Archives/edgar/data/1039065/000104746916016207/a2230040zdef14a.htm" TargetMode="External"/><Relationship Id="rId15" Type="http://schemas.openxmlformats.org/officeDocument/2006/relationships/hyperlink" Target="https://www.sec.gov/Archives/edgar/data/1039065/000119312510198574/dex1017.htm" TargetMode="External"/><Relationship Id="rId16" Type="http://schemas.openxmlformats.org/officeDocument/2006/relationships/hyperlink" Target="https://www.sec.gov/Archives/edgar/data/1039065/000110465925065069/tm2519433d1_ex10-1.htm" TargetMode="External"/><Relationship Id="rId17" Type="http://schemas.openxmlformats.org/officeDocument/2006/relationships/hyperlink" Target="https://www.sec.gov/Archives/edgar/data/1039065/000141057824000570/osis-20240331xex10d1.htm" TargetMode="External"/><Relationship Id="rId18" Type="http://schemas.openxmlformats.org/officeDocument/2006/relationships/hyperlink" Target="https://www.sec.gov/Archives/edgar/data/1039065/000141057824000570/osis-20240331xex10d2.htm" TargetMode="External"/><Relationship Id="rId19" Type="http://schemas.openxmlformats.org/officeDocument/2006/relationships/hyperlink" Target="https://www.sec.gov/Archives/edgar/data/1039065/000110465924128331/tm2431007d1_ex10-1.htm" TargetMode="External"/><Relationship Id="rId20" Type="http://schemas.openxmlformats.org/officeDocument/2006/relationships/hyperlink" Target="https://www.sec.gov/Archives/edgar/data/1039065/000141057824000570/osis-20240331xex10d3.htm" TargetMode="External"/><Relationship Id="rId21" Type="http://schemas.openxmlformats.org/officeDocument/2006/relationships/hyperlink" Target="https://www.sec.gov/Archives/edgar/data/1039065/000110465918000965/a18-2270_1ex10d2.htm" TargetMode="External"/><Relationship Id="rId22" Type="http://schemas.openxmlformats.org/officeDocument/2006/relationships/hyperlink" Target="https://www.sec.gov/Archives/edgar/data/1039065/000110465920097650/osis-20200630xex10d21.htm" TargetMode="External"/><Relationship Id="rId23" Type="http://schemas.openxmlformats.org/officeDocument/2006/relationships/hyperlink" Target="https://www.sec.gov/Archives/edgar/data/1039065/000110465920097650/osis-20200630xex10d22.htm" TargetMode="External"/><Relationship Id="rId24" Type="http://schemas.openxmlformats.org/officeDocument/2006/relationships/hyperlink" Target="https://www.sec.gov/Archives/edgar/data/1039065/000110465921131824/osis-20210930xex10d1.htm" TargetMode="External"/><Relationship Id="rId25" Type="http://schemas.openxmlformats.org/officeDocument/2006/relationships/hyperlink" Target="https://www.sec.gov/Archives/edgar/data/1039065/000110465913064652/a13-18709_1ex10d2.htm" TargetMode="External"/><Relationship Id="rId26" Type="http://schemas.openxmlformats.org/officeDocument/2006/relationships/hyperlink" Target="https://www.sec.gov/Archives/edgar/data/1039065/000110465913064652/a13-18709_1ex10d3.htm" TargetMode="External"/><Relationship Id="rId27" Type="http://schemas.openxmlformats.org/officeDocument/2006/relationships/hyperlink" Target="https://www.sec.gov/Archives/edgar/data/1039065/000110465913064652/a13-18709_1ex10d4.htm" TargetMode="External"/><Relationship Id="rId28" Type="http://schemas.openxmlformats.org/officeDocument/2006/relationships/hyperlink" Target="https://www.sec.gov/Archives/edgar/data/1039065/000110465926055014/osis-20260331xex14d1.htm" TargetMode="External"/><Relationship Id="rId29" Type="http://schemas.openxmlformats.org/officeDocument/2006/relationships/hyperlink" Target="https://www.sec.gov/Archives/edgar/data/1039065/000141057824001571/osis-20240630xex97d1.htm" TargetMode="External"/><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65271</Words>
  <Characters>373849</Characters>
  <CharactersWithSpaces>442076</CharactersWithSpaces>
  <Paragraphs>11289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