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6"/>
          <w:szCs w:val="16"/>
          <w:color w:val="003366"/>
        </w:rPr>
        <w:drawing>
          <wp:anchor simplePos="0" relativeHeight="251657728" behindDoc="1" locked="0" layoutInCell="0" allowOverlap="1">
            <wp:simplePos x="0" y="0"/>
            <wp:positionH relativeFrom="page">
              <wp:posOffset>158750</wp:posOffset>
            </wp:positionH>
            <wp:positionV relativeFrom="page">
              <wp:posOffset>123190</wp:posOffset>
            </wp:positionV>
            <wp:extent cx="7232650" cy="10481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2650" cy="10481310"/>
                    </a:xfrm>
                    <a:prstGeom prst="rect">
                      <a:avLst/>
                    </a:prstGeom>
                    <a:noFill/>
                  </pic:spPr>
                </pic:pic>
              </a:graphicData>
            </a:graphic>
          </wp:anchor>
        </w:drawing>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ind w:left="474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3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84" w:lineRule="exact"/>
        <w:rPr>
          <w:sz w:val="24"/>
          <w:szCs w:val="24"/>
          <w:color w:val="auto"/>
        </w:rPr>
      </w:pPr>
    </w:p>
    <w:p>
      <w:pPr>
        <w:ind w:left="1300" w:hanging="332"/>
        <w:spacing w:after="0"/>
        <w:tabs>
          <w:tab w:leader="none" w:pos="13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3"/>
          <w:szCs w:val="13"/>
          <w:b w:val="1"/>
          <w:bCs w:val="1"/>
          <w:color w:val="auto"/>
        </w:rPr>
        <w:t xml:space="preserve">For the quarterly period ended </w:t>
      </w:r>
      <w:r>
        <w:rPr>
          <w:rFonts w:ascii="Times New Roman" w:cs="Times New Roman" w:eastAsia="Times New Roman" w:hAnsi="Times New Roman"/>
          <w:sz w:val="13"/>
          <w:szCs w:val="13"/>
          <w:b w:val="1"/>
          <w:bCs w:val="1"/>
          <w:color w:val="auto"/>
          <w:highlight w:val="white"/>
        </w:rPr>
        <w:t>September 30, 2026</w:t>
      </w:r>
    </w:p>
    <w:p>
      <w:pPr>
        <w:spacing w:after="0" w:line="8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4" w:lineRule="exact"/>
        <w:rPr>
          <w:sz w:val="24"/>
          <w:szCs w:val="24"/>
          <w:color w:val="auto"/>
        </w:rPr>
      </w:pPr>
    </w:p>
    <w:p>
      <w:pPr>
        <w:ind w:left="1300" w:hanging="332"/>
        <w:spacing w:after="0"/>
        <w:tabs>
          <w:tab w:leader="none" w:pos="13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9" w:lineRule="exact"/>
        <w:rPr>
          <w:sz w:val="24"/>
          <w:szCs w:val="24"/>
          <w:color w:val="auto"/>
        </w:rPr>
      </w:pPr>
    </w:p>
    <w:p>
      <w:pPr>
        <w:ind w:left="4220"/>
        <w:spacing w:after="0"/>
        <w:tabs>
          <w:tab w:leader="none" w:pos="626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8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Commission File Number 000-23125</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7"/>
          <w:szCs w:val="27"/>
          <w:b w:val="1"/>
          <w:bCs w:val="1"/>
          <w:color w:val="auto"/>
        </w:rPr>
        <w:t>OSI SYSTEMS, INC.</w:t>
      </w:r>
    </w:p>
    <w:p>
      <w:pPr>
        <w:spacing w:after="0" w:line="2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0360"/>
          </w:cols>
          <w:pgMar w:left="440" w:top="470" w:right="1099" w:bottom="1440" w:gutter="0" w:footer="0" w:header="0"/>
        </w:sectPr>
      </w:pPr>
    </w:p>
    <w:p>
      <w:pPr>
        <w:spacing w:after="0" w:line="249" w:lineRule="exact"/>
        <w:rPr>
          <w:sz w:val="24"/>
          <w:szCs w:val="24"/>
          <w:color w:val="auto"/>
        </w:rPr>
      </w:pPr>
    </w:p>
    <w:p>
      <w:pPr>
        <w:jc w:val="center"/>
        <w:ind w:left="21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7"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22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32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33-0238801</w:t>
            </w:r>
          </w:p>
        </w:tc>
      </w:tr>
      <w:tr>
        <w:trPr>
          <w:trHeight w:val="148"/>
        </w:trPr>
        <w:tc>
          <w:tcPr>
            <w:tcW w:w="3260" w:type="dxa"/>
            <w:vAlign w:val="bottom"/>
          </w:tcPr>
          <w:p>
            <w:pPr>
              <w:spacing w:after="0"/>
              <w:rPr>
                <w:sz w:val="12"/>
                <w:szCs w:val="12"/>
                <w:color w:val="auto"/>
              </w:rPr>
            </w:pPr>
          </w:p>
        </w:tc>
        <w:tc>
          <w:tcPr>
            <w:tcW w:w="128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260" w:type="dxa"/>
            <w:vAlign w:val="bottom"/>
          </w:tcPr>
          <w:p>
            <w:pPr>
              <w:spacing w:after="0"/>
              <w:rPr>
                <w:sz w:val="16"/>
                <w:szCs w:val="16"/>
                <w:color w:val="auto"/>
              </w:rPr>
            </w:pPr>
          </w:p>
        </w:tc>
        <w:tc>
          <w:tcPr>
            <w:tcW w:w="128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42"/>
        </w:trPr>
        <w:tc>
          <w:tcPr>
            <w:tcW w:w="32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12525 Chadron Avenue</w:t>
            </w:r>
          </w:p>
        </w:tc>
        <w:tc>
          <w:tcPr>
            <w:tcW w:w="1280" w:type="dxa"/>
            <w:vAlign w:val="bottom"/>
          </w:tcPr>
          <w:p>
            <w:pPr>
              <w:spacing w:after="0"/>
              <w:rPr>
                <w:sz w:val="21"/>
                <w:szCs w:val="21"/>
                <w:color w:val="auto"/>
              </w:rPr>
            </w:pPr>
          </w:p>
        </w:tc>
      </w:tr>
      <w:tr>
        <w:trPr>
          <w:trHeight w:val="151"/>
        </w:trPr>
        <w:tc>
          <w:tcPr>
            <w:tcW w:w="3260" w:type="dxa"/>
            <w:vAlign w:val="bottom"/>
          </w:tcPr>
          <w:p>
            <w:pPr>
              <w:jc w:val="center"/>
              <w:ind w:right="148"/>
              <w:spacing w:after="0" w:line="151" w:lineRule="exact"/>
              <w:rPr>
                <w:sz w:val="20"/>
                <w:szCs w:val="20"/>
                <w:color w:val="auto"/>
              </w:rPr>
            </w:pPr>
            <w:r>
              <w:rPr>
                <w:rFonts w:ascii="Times New Roman" w:cs="Times New Roman" w:eastAsia="Times New Roman" w:hAnsi="Times New Roman"/>
                <w:sz w:val="14"/>
                <w:szCs w:val="14"/>
                <w:b w:val="1"/>
                <w:bCs w:val="1"/>
                <w:color w:val="auto"/>
              </w:rPr>
              <w:t>Hawthorne, California 90250</w:t>
            </w:r>
          </w:p>
        </w:tc>
        <w:tc>
          <w:tcPr>
            <w:tcW w:w="1280" w:type="dxa"/>
            <w:vAlign w:val="bottom"/>
          </w:tcPr>
          <w:p>
            <w:pPr>
              <w:spacing w:after="0"/>
              <w:rPr>
                <w:sz w:val="13"/>
                <w:szCs w:val="13"/>
                <w:color w:val="auto"/>
              </w:rPr>
            </w:pPr>
          </w:p>
        </w:tc>
      </w:tr>
      <w:tr>
        <w:trPr>
          <w:trHeight w:val="188"/>
        </w:trPr>
        <w:tc>
          <w:tcPr>
            <w:tcW w:w="32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280" w:type="dxa"/>
            <w:vAlign w:val="bottom"/>
          </w:tcPr>
          <w:p>
            <w:pPr>
              <w:spacing w:after="0"/>
              <w:rPr>
                <w:sz w:val="16"/>
                <w:szCs w:val="16"/>
                <w:color w:val="auto"/>
              </w:rPr>
            </w:pPr>
          </w:p>
        </w:tc>
      </w:tr>
      <w:tr>
        <w:trPr>
          <w:trHeight w:val="203"/>
        </w:trPr>
        <w:tc>
          <w:tcPr>
            <w:tcW w:w="32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(310) 978-0516</w:t>
            </w:r>
          </w:p>
        </w:tc>
        <w:tc>
          <w:tcPr>
            <w:tcW w:w="1280" w:type="dxa"/>
            <w:vAlign w:val="bottom"/>
          </w:tcPr>
          <w:p>
            <w:pPr>
              <w:spacing w:after="0"/>
              <w:rPr>
                <w:sz w:val="17"/>
                <w:szCs w:val="17"/>
                <w:color w:val="auto"/>
              </w:rPr>
            </w:pPr>
          </w:p>
        </w:tc>
      </w:tr>
      <w:tr>
        <w:trPr>
          <w:trHeight w:val="188"/>
        </w:trPr>
        <w:tc>
          <w:tcPr>
            <w:tcW w:w="32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280" w:type="dxa"/>
            <w:vAlign w:val="bottom"/>
          </w:tcPr>
          <w:p>
            <w:pPr>
              <w:spacing w:after="0"/>
              <w:rPr>
                <w:sz w:val="16"/>
                <w:szCs w:val="16"/>
                <w:color w:val="auto"/>
              </w:rPr>
            </w:pPr>
          </w:p>
        </w:tc>
      </w:tr>
    </w:tbl>
    <w:p>
      <w:pPr>
        <w:spacing w:after="0" w:line="56"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 w:lineRule="exact"/>
        <w:rPr>
          <w:sz w:val="24"/>
          <w:szCs w:val="24"/>
          <w:color w:val="auto"/>
        </w:rPr>
      </w:pPr>
    </w:p>
    <w:p>
      <w:pPr>
        <w:sectPr>
          <w:pgSz w:w="11900" w:h="16838" w:orient="portrait"/>
          <w:cols w:equalWidth="0" w:num="2">
            <w:col w:w="3960" w:space="20"/>
            <w:col w:w="6380"/>
          </w:cols>
          <w:pgMar w:left="440" w:top="470" w:right="1099" w:bottom="1440" w:gutter="0" w:footer="0" w:header="0"/>
          <w:type w:val="continuous"/>
        </w:sectPr>
      </w:pPr>
    </w:p>
    <w:p>
      <w:pPr>
        <w:ind w:left="314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4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87" w:lineRule="exact"/>
        <w:rPr>
          <w:sz w:val="24"/>
          <w:szCs w:val="24"/>
          <w:color w:val="auto"/>
        </w:rPr>
      </w:pPr>
    </w:p>
    <w:tbl>
      <w:tblPr>
        <w:tblLayout w:type="fixed"/>
        <w:tblInd w:w="640" w:type="dxa"/>
        <w:tblCellMar>
          <w:top w:w="0" w:type="dxa"/>
          <w:left w:w="0" w:type="dxa"/>
          <w:bottom w:w="0" w:type="dxa"/>
          <w:right w:w="0" w:type="dxa"/>
        </w:tblCellMar>
      </w:tblPr>
      <w:tr>
        <w:trPr>
          <w:trHeight w:val="16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Trading Symbol(s)</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161"/>
        </w:trPr>
        <w:tc>
          <w:tcPr>
            <w:tcW w:w="3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Common Stock, $0.001 par value</w:t>
            </w:r>
          </w:p>
        </w:tc>
        <w:tc>
          <w:tcPr>
            <w:tcW w:w="2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OSIS</w:t>
            </w:r>
          </w:p>
        </w:tc>
        <w:tc>
          <w:tcPr>
            <w:tcW w:w="260" w:type="dxa"/>
            <w:vAlign w:val="bottom"/>
          </w:tcPr>
          <w:p>
            <w:pPr>
              <w:spacing w:after="0"/>
              <w:rPr>
                <w:sz w:val="13"/>
                <w:szCs w:val="13"/>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Select Market</w:t>
            </w:r>
          </w:p>
        </w:tc>
      </w:tr>
    </w:tbl>
    <w:p>
      <w:pPr>
        <w:spacing w:after="0" w:line="41" w:lineRule="exact"/>
        <w:rPr>
          <w:sz w:val="24"/>
          <w:szCs w:val="24"/>
          <w:color w:val="auto"/>
        </w:rPr>
      </w:pPr>
    </w:p>
    <w:p>
      <w:pPr>
        <w:jc w:val="both"/>
        <w:ind w:left="640" w:right="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jc w:val="both"/>
        <w:ind w:left="640" w:right="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left="640" w:right="2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300"/>
        <w:spacing w:after="0" w:line="284" w:lineRule="exact"/>
        <w:tabs>
          <w:tab w:leader="none" w:pos="5460" w:val="left"/>
          <w:tab w:leader="none" w:pos="74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29"/>
          <w:szCs w:val="29"/>
          <w:color w:val="auto"/>
          <w:vertAlign w:val="subscript"/>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5" w:lineRule="exact"/>
        <w:rPr>
          <w:sz w:val="24"/>
          <w:szCs w:val="24"/>
          <w:color w:val="auto"/>
        </w:rPr>
      </w:pPr>
    </w:p>
    <w:p>
      <w:pPr>
        <w:ind w:left="2340"/>
        <w:spacing w:after="0" w:line="161" w:lineRule="exact"/>
        <w:tabs>
          <w:tab w:leader="none" w:pos="710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90" w:lineRule="exact"/>
        <w:rPr>
          <w:sz w:val="24"/>
          <w:szCs w:val="24"/>
          <w:color w:val="auto"/>
        </w:rPr>
      </w:pPr>
    </w:p>
    <w:p>
      <w:pPr>
        <w:ind w:left="71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0" w:lineRule="exact"/>
        <w:rPr>
          <w:sz w:val="24"/>
          <w:szCs w:val="24"/>
          <w:color w:val="auto"/>
        </w:rPr>
      </w:pPr>
    </w:p>
    <w:p>
      <w:pPr>
        <w:ind w:left="640" w:right="38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left="960" w:right="20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w:t>
      </w:r>
      <w:r>
        <w:rPr>
          <w:rFonts w:ascii="Times New Roman" w:cs="Times New Roman" w:eastAsia="Times New Roman" w:hAnsi="Times New Roman"/>
          <w:sz w:val="14"/>
          <w:szCs w:val="14"/>
          <w:color w:val="auto"/>
          <w:highlight w:val="white"/>
        </w:rPr>
        <w:t>October 23, 2026</w:t>
      </w:r>
      <w:r>
        <w:rPr>
          <w:rFonts w:ascii="Times New Roman" w:cs="Times New Roman" w:eastAsia="Times New Roman" w:hAnsi="Times New Roman"/>
          <w:sz w:val="14"/>
          <w:szCs w:val="14"/>
          <w:color w:val="auto"/>
        </w:rPr>
        <w:t>, there were 15,728,156 shares of the registrant’s common stock outstanding.</w:t>
      </w:r>
    </w:p>
    <w:p>
      <w:pPr>
        <w:sectPr>
          <w:pgSz w:w="11900" w:h="16838" w:orient="portrait"/>
          <w:cols w:equalWidth="0" w:num="1">
            <w:col w:w="10360"/>
          </w:cols>
          <w:pgMar w:left="440" w:top="470" w:right="109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OSI SYSTEMS, INC.</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92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1 —</w:t>
            </w:r>
          </w:p>
        </w:tc>
        <w:tc>
          <w:tcPr>
            <w:tcW w:w="260" w:type="dxa"/>
            <w:vAlign w:val="bottom"/>
            <w:gridSpan w:val="3"/>
          </w:tcPr>
          <w:p>
            <w:pPr>
              <w:spacing w:after="0"/>
              <w:rPr>
                <w:sz w:val="24"/>
                <w:szCs w:val="24"/>
                <w:color w:val="auto"/>
              </w:rPr>
            </w:pP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68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at June 30, 2026 and September 30, 2026</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September 30, 2025 and 2026</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months ended September 30, 2025</w:t>
            </w:r>
          </w:p>
        </w:tc>
        <w:tc>
          <w:tcPr>
            <w:tcW w:w="4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2026</w:t>
            </w:r>
          </w:p>
        </w:tc>
        <w:tc>
          <w:tcPr>
            <w:tcW w:w="7180" w:type="dxa"/>
            <w:vAlign w:val="bottom"/>
            <w:tcBorders>
              <w:top w:val="single" w:sz="8" w:color="0000EE"/>
            </w:tcBorders>
            <w:gridSpan w:val="17"/>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September 30, 2025</w:t>
            </w:r>
          </w:p>
        </w:tc>
        <w:tc>
          <w:tcPr>
            <w:tcW w:w="24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2026</w:t>
            </w:r>
          </w:p>
        </w:tc>
        <w:tc>
          <w:tcPr>
            <w:tcW w:w="724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September 30, 2025 and 2026</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880" w:type="dxa"/>
            <w:vAlign w:val="bottom"/>
            <w:tcBorders>
              <w:top w:val="single" w:sz="8" w:color="0000EE"/>
            </w:tcBorders>
            <w:gridSpan w:val="7"/>
          </w:tcPr>
          <w:p>
            <w:pPr>
              <w:spacing w:after="0"/>
              <w:rPr>
                <w:sz w:val="17"/>
                <w:szCs w:val="17"/>
                <w:color w:val="auto"/>
              </w:rPr>
            </w:pPr>
          </w:p>
        </w:tc>
        <w:tc>
          <w:tcPr>
            <w:tcW w:w="22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8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 —</w:t>
            </w:r>
          </w:p>
        </w:tc>
        <w:tc>
          <w:tcPr>
            <w:tcW w:w="240" w:type="dxa"/>
            <w:vAlign w:val="bottom"/>
            <w:gridSpan w:val="2"/>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4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 —</w:t>
            </w:r>
          </w:p>
        </w:tc>
        <w:tc>
          <w:tcPr>
            <w:tcW w:w="240" w:type="dxa"/>
            <w:vAlign w:val="bottom"/>
            <w:gridSpan w:val="2"/>
          </w:tcPr>
          <w:p>
            <w:pPr>
              <w:spacing w:after="0"/>
              <w:rPr>
                <w:sz w:val="17"/>
                <w:szCs w:val="17"/>
                <w:color w:val="auto"/>
              </w:rPr>
            </w:pPr>
          </w:p>
        </w:tc>
        <w:tc>
          <w:tcPr>
            <w:tcW w:w="8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 —</w:t>
            </w:r>
          </w:p>
        </w:tc>
        <w:tc>
          <w:tcPr>
            <w:tcW w:w="240" w:type="dxa"/>
            <w:vAlign w:val="bottom"/>
            <w:gridSpan w:val="2"/>
          </w:tcPr>
          <w:p>
            <w:pPr>
              <w:spacing w:after="0"/>
              <w:rPr>
                <w:sz w:val="17"/>
                <w:szCs w:val="17"/>
                <w:color w:val="auto"/>
              </w:rPr>
            </w:pPr>
          </w:p>
        </w:tc>
        <w:tc>
          <w:tcPr>
            <w:tcW w:w="43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80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2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80" w:type="dxa"/>
            <w:vAlign w:val="bottom"/>
            <w:tcBorders>
              <w:top w:val="single" w:sz="8" w:color="0000EE"/>
            </w:tcBorders>
          </w:tcPr>
          <w:p>
            <w:pPr>
              <w:spacing w:after="0"/>
              <w:rPr>
                <w:sz w:val="24"/>
                <w:szCs w:val="24"/>
                <w:color w:val="auto"/>
              </w:rPr>
            </w:pPr>
          </w:p>
        </w:tc>
        <w:tc>
          <w:tcPr>
            <w:tcW w:w="7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 —</w:t>
            </w:r>
          </w:p>
        </w:tc>
        <w:tc>
          <w:tcPr>
            <w:tcW w:w="24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460" w:type="dxa"/>
            <w:vAlign w:val="bottom"/>
            <w:tcBorders>
              <w:top w:val="single" w:sz="8" w:color="0000EE"/>
            </w:tcBorders>
            <w:gridSpan w:val="2"/>
          </w:tcPr>
          <w:p>
            <w:pPr>
              <w:spacing w:after="0"/>
              <w:rPr>
                <w:sz w:val="24"/>
                <w:szCs w:val="24"/>
                <w:color w:val="auto"/>
              </w:rPr>
            </w:pPr>
          </w:p>
        </w:tc>
        <w:tc>
          <w:tcPr>
            <w:tcW w:w="630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96"/>
        </w:trPr>
        <w:tc>
          <w:tcPr>
            <w:tcW w:w="180" w:type="dxa"/>
            <w:vAlign w:val="bottom"/>
          </w:tcPr>
          <w:p>
            <w:pPr>
              <w:spacing w:after="0"/>
              <w:rPr>
                <w:sz w:val="17"/>
                <w:szCs w:val="17"/>
                <w:color w:val="auto"/>
              </w:rPr>
            </w:pPr>
          </w:p>
        </w:tc>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1A —</w:t>
            </w:r>
          </w:p>
        </w:tc>
        <w:tc>
          <w:tcPr>
            <w:tcW w:w="140" w:type="dxa"/>
            <w:vAlign w:val="bottom"/>
          </w:tcPr>
          <w:p>
            <w:pPr>
              <w:spacing w:after="0"/>
              <w:rPr>
                <w:sz w:val="17"/>
                <w:szCs w:val="17"/>
                <w:color w:val="auto"/>
              </w:rPr>
            </w:pPr>
          </w:p>
        </w:tc>
        <w:tc>
          <w:tcPr>
            <w:tcW w:w="8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 —</w:t>
            </w:r>
          </w:p>
        </w:tc>
        <w:tc>
          <w:tcPr>
            <w:tcW w:w="240" w:type="dxa"/>
            <w:vAlign w:val="bottom"/>
            <w:gridSpan w:val="2"/>
          </w:tcPr>
          <w:p>
            <w:pPr>
              <w:spacing w:after="0"/>
              <w:rPr>
                <w:sz w:val="17"/>
                <w:szCs w:val="17"/>
                <w:color w:val="auto"/>
              </w:rPr>
            </w:pPr>
          </w:p>
        </w:tc>
        <w:tc>
          <w:tcPr>
            <w:tcW w:w="43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7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 —</w:t>
            </w:r>
          </w:p>
        </w:tc>
        <w:tc>
          <w:tcPr>
            <w:tcW w:w="240" w:type="dxa"/>
            <w:vAlign w:val="bottom"/>
            <w:gridSpan w:val="2"/>
          </w:tcPr>
          <w:p>
            <w:pPr>
              <w:spacing w:after="0"/>
              <w:rPr>
                <w:sz w:val="17"/>
                <w:szCs w:val="17"/>
                <w:color w:val="auto"/>
              </w:rPr>
            </w:pPr>
          </w:p>
        </w:tc>
        <w:tc>
          <w:tcPr>
            <w:tcW w:w="2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78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 —</w:t>
            </w:r>
          </w:p>
        </w:tc>
        <w:tc>
          <w:tcPr>
            <w:tcW w:w="24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6340" w:type="dxa"/>
            <w:vAlign w:val="bottom"/>
            <w:gridSpan w:val="1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8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w:t>
            </w:r>
          </w:p>
        </w:tc>
        <w:tc>
          <w:tcPr>
            <w:tcW w:w="260" w:type="dxa"/>
            <w:vAlign w:val="bottom"/>
            <w:gridSpan w:val="3"/>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500" w:type="dxa"/>
            <w:vAlign w:val="bottom"/>
            <w:gridSpan w:val="1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360"/>
          </w:cols>
          <w:pgMar w:left="440" w:top="106" w:right="109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left="1100" w:right="2080"/>
        <w:spacing w:after="0" w:line="268" w:lineRule="auto"/>
        <w:rPr>
          <w:sz w:val="20"/>
          <w:szCs w:val="20"/>
          <w:color w:val="auto"/>
        </w:rPr>
      </w:pPr>
      <w:r>
        <w:rPr>
          <w:rFonts w:ascii="Times New Roman" w:cs="Times New Roman" w:eastAsia="Times New Roman" w:hAnsi="Times New Roman"/>
          <w:sz w:val="18"/>
          <w:szCs w:val="18"/>
          <w:b w:val="1"/>
          <w:bCs w:val="1"/>
          <w:color w:val="auto"/>
        </w:rPr>
        <w:t>OSI SYSTEMS, INC. AND SUBSIDIARIES CONDENSED CONSOLIDATED BALANCE SHEETS (UNAUDITED) (amounts in thousands, except share amounts and par value)</w:t>
      </w:r>
    </w:p>
    <w:p>
      <w:pPr>
        <w:spacing w:after="0" w:line="195"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180" w:type="dxa"/>
            <w:vAlign w:val="bottom"/>
          </w:tcPr>
          <w:p>
            <w:pPr>
              <w:ind w:left="7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359,832</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236,298</w:t>
            </w:r>
          </w:p>
        </w:tc>
        <w:tc>
          <w:tcPr>
            <w:tcW w:w="0" w:type="dxa"/>
            <w:vAlign w:val="bottom"/>
          </w:tcPr>
          <w:p>
            <w:pPr>
              <w:spacing w:after="0"/>
              <w:rPr>
                <w:sz w:val="1"/>
                <w:szCs w:val="1"/>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764,626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746,864</w:t>
            </w:r>
          </w:p>
        </w:tc>
        <w:tc>
          <w:tcPr>
            <w:tcW w:w="0" w:type="dxa"/>
            <w:vAlign w:val="bottom"/>
          </w:tcPr>
          <w:p>
            <w:pPr>
              <w:spacing w:after="0"/>
              <w:rPr>
                <w:sz w:val="1"/>
                <w:szCs w:val="1"/>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415,562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463,367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74,838</w:t>
            </w:r>
          </w:p>
        </w:tc>
        <w:tc>
          <w:tcPr>
            <w:tcW w:w="0" w:type="dxa"/>
            <w:vAlign w:val="bottom"/>
          </w:tcPr>
          <w:p>
            <w:pPr>
              <w:spacing w:after="0"/>
              <w:rPr>
                <w:sz w:val="1"/>
                <w:szCs w:val="1"/>
                <w:color w:val="auto"/>
              </w:rPr>
            </w:pPr>
          </w:p>
        </w:tc>
      </w:tr>
      <w:tr>
        <w:trPr>
          <w:trHeight w:val="21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1,587,069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406,677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407,629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194,655</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161,787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167,561</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2,502,452</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2,489,442</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190,268</w:t>
            </w:r>
          </w:p>
        </w:tc>
        <w:tc>
          <w:tcPr>
            <w:tcW w:w="0" w:type="dxa"/>
            <w:vAlign w:val="bottom"/>
          </w:tcPr>
          <w:p>
            <w:pPr>
              <w:spacing w:after="0"/>
              <w:rPr>
                <w:sz w:val="1"/>
                <w:szCs w:val="1"/>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 from customers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64,099</w:t>
            </w:r>
          </w:p>
        </w:tc>
        <w:tc>
          <w:tcPr>
            <w:tcW w:w="0" w:type="dxa"/>
            <w:vAlign w:val="bottom"/>
          </w:tcPr>
          <w:p>
            <w:pPr>
              <w:spacing w:after="0"/>
              <w:rPr>
                <w:sz w:val="1"/>
                <w:szCs w:val="1"/>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152,815</w:t>
            </w:r>
          </w:p>
        </w:tc>
        <w:tc>
          <w:tcPr>
            <w:tcW w:w="0" w:type="dxa"/>
            <w:vAlign w:val="bottom"/>
          </w:tcPr>
          <w:p>
            <w:pPr>
              <w:spacing w:after="0"/>
              <w:rPr>
                <w:sz w:val="1"/>
                <w:szCs w:val="1"/>
                <w:color w:val="auto"/>
              </w:rPr>
            </w:pPr>
          </w:p>
        </w:tc>
      </w:tr>
      <w:tr>
        <w:trPr>
          <w:trHeight w:val="21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548,998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998,294</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154,164</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1,669,491</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1,706,598</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value—10,000,000 shares authorized; no shares issued or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value—100,000,000 shares authorized; issued and outstanding,</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15,918,066 shares at June 30, 2026 and 15,728,156 shares at September 30, 2026</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804,423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832,961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782,844</w:t>
            </w:r>
          </w:p>
        </w:tc>
        <w:tc>
          <w:tcPr>
            <w:tcW w:w="0" w:type="dxa"/>
            <w:vAlign w:val="bottom"/>
          </w:tcPr>
          <w:p>
            <w:pPr>
              <w:spacing w:after="0"/>
              <w:rPr>
                <w:sz w:val="1"/>
                <w:szCs w:val="1"/>
                <w:color w:val="auto"/>
              </w:rPr>
            </w:pPr>
          </w:p>
        </w:tc>
      </w:tr>
      <w:tr>
        <w:trPr>
          <w:trHeight w:val="21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2,502,452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2,489,442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60"/>
          </w:cols>
          <w:pgMar w:left="440" w:top="106" w:right="109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1080" w:right="1540"/>
        <w:spacing w:after="0" w:line="268" w:lineRule="auto"/>
        <w:rPr>
          <w:sz w:val="20"/>
          <w:szCs w:val="20"/>
          <w:color w:val="auto"/>
        </w:rPr>
      </w:pPr>
      <w:r>
        <w:rPr>
          <w:rFonts w:ascii="Times New Roman" w:cs="Times New Roman" w:eastAsia="Times New Roman" w:hAnsi="Times New Roman"/>
          <w:sz w:val="18"/>
          <w:szCs w:val="18"/>
          <w:b w:val="1"/>
          <w:bCs w:val="1"/>
          <w:color w:val="auto"/>
        </w:rPr>
        <w:t>OSI SYSTEMS, INC. AND SUBSIDIARIES CONDENSED CONSOLIDATED STATEMENTS OF OPERATIONS (UNAUDITED) (amounts in thousands, except per share data)</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6840" w:type="dxa"/>
            <w:vAlign w:val="bottom"/>
            <w:vMerge w:val="restart"/>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5"/>
        </w:trPr>
        <w:tc>
          <w:tcPr>
            <w:tcW w:w="6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3"/>
                <w:szCs w:val="13"/>
                <w:color w:val="auto"/>
              </w:rPr>
            </w:pPr>
          </w:p>
        </w:tc>
        <w:tc>
          <w:tcPr>
            <w:tcW w:w="480" w:type="dxa"/>
            <w:vAlign w:val="bottom"/>
            <w:gridSpan w:val="2"/>
          </w:tcPr>
          <w:p>
            <w:pPr>
              <w:jc w:val="right"/>
              <w:ind w:right="23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275,810</w:t>
            </w:r>
          </w:p>
        </w:tc>
        <w:tc>
          <w:tcPr>
            <w:tcW w:w="6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113,649</w:t>
            </w:r>
          </w:p>
        </w:tc>
        <w:tc>
          <w:tcPr>
            <w:tcW w:w="0" w:type="dxa"/>
            <w:vAlign w:val="bottom"/>
          </w:tcPr>
          <w:p>
            <w:pPr>
              <w:spacing w:after="0"/>
              <w:rPr>
                <w:sz w:val="1"/>
                <w:szCs w:val="1"/>
                <w:color w:val="auto"/>
              </w:rPr>
            </w:pPr>
          </w:p>
        </w:tc>
      </w:tr>
      <w:tr>
        <w:trPr>
          <w:trHeight w:val="209"/>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403,472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65,878</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261,438</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279,671</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123,801</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68,709</w:t>
            </w: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90,112</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7"/>
        </w:trPr>
        <w:tc>
          <w:tcPr>
            <w:tcW w:w="6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per share calculation:</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15,899</w:t>
            </w:r>
          </w:p>
        </w:tc>
        <w:tc>
          <w:tcPr>
            <w:tcW w:w="0" w:type="dxa"/>
            <w:vAlign w:val="bottom"/>
          </w:tcPr>
          <w:p>
            <w:pPr>
              <w:spacing w:after="0"/>
              <w:rPr>
                <w:sz w:val="1"/>
                <w:szCs w:val="1"/>
                <w:color w:val="auto"/>
              </w:rPr>
            </w:pPr>
          </w:p>
        </w:tc>
      </w:tr>
      <w:tr>
        <w:trPr>
          <w:trHeight w:val="197"/>
        </w:trPr>
        <w:tc>
          <w:tcPr>
            <w:tcW w:w="684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17,473</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16,252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60"/>
          </w:cols>
          <w:pgMar w:left="440" w:top="106" w:right="109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1" w:lineRule="exact"/>
        <w:rPr>
          <w:sz w:val="20"/>
          <w:szCs w:val="20"/>
          <w:color w:val="auto"/>
        </w:rPr>
      </w:pPr>
    </w:p>
    <w:p>
      <w:pPr>
        <w:ind w:left="7680"/>
        <w:spacing w:after="0"/>
        <w:tabs>
          <w:tab w:leader="none" w:pos="7940" w:val="left"/>
        </w:tabs>
        <w:rPr>
          <w:sz w:val="20"/>
          <w:szCs w:val="20"/>
          <w:color w:val="auto"/>
        </w:rPr>
      </w:pPr>
      <w:r>
        <w:rPr>
          <w:rFonts w:ascii="Times New Roman" w:cs="Times New Roman" w:eastAsia="Times New Roman" w:hAnsi="Times New Roman"/>
          <w:sz w:val="14"/>
          <w:szCs w:val="14"/>
          <w:b w:val="1"/>
          <w:bCs w:val="1"/>
          <w:color w:val="auto"/>
        </w:rPr>
        <w:t>​​​</w:t>
        <w:tab/>
        <w:t>Three Months Ended September 30,</w:t>
      </w:r>
    </w:p>
    <w:p>
      <w:pPr>
        <w:spacing w:after="0" w:line="12" w:lineRule="exact"/>
        <w:rPr>
          <w:sz w:val="20"/>
          <w:szCs w:val="20"/>
          <w:color w:val="auto"/>
        </w:rPr>
      </w:pPr>
    </w:p>
    <w:tbl>
      <w:tblPr>
        <w:tblLayout w:type="fixed"/>
        <w:tblInd w:w="640" w:type="dxa"/>
        <w:tblCellMar>
          <w:top w:w="0" w:type="dxa"/>
          <w:left w:w="0" w:type="dxa"/>
          <w:bottom w:w="0" w:type="dxa"/>
          <w:right w:w="0" w:type="dxa"/>
        </w:tblCellMar>
      </w:tblPr>
      <w:tr>
        <w:trPr>
          <w:trHeight w:val="155"/>
        </w:trPr>
        <w:tc>
          <w:tcPr>
            <w:tcW w:w="7180" w:type="dxa"/>
            <w:vAlign w:val="bottom"/>
          </w:tcPr>
          <w:p>
            <w:pPr>
              <w:ind w:left="70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right"/>
              <w:ind w:right="17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r>
      <w:tr>
        <w:trPr>
          <w:trHeight w:val="216"/>
        </w:trPr>
        <w:tc>
          <w:tcPr>
            <w:tcW w:w="7180" w:type="dxa"/>
            <w:vAlign w:val="bottom"/>
          </w:tcPr>
          <w:p>
            <w:pPr>
              <w:jc w:val="right"/>
              <w:ind w:right="5173"/>
              <w:spacing w:after="0"/>
              <w:rPr>
                <w:sz w:val="20"/>
                <w:szCs w:val="20"/>
                <w:color w:val="auto"/>
              </w:rPr>
            </w:pPr>
            <w:r>
              <w:rPr>
                <w:rFonts w:ascii="Times New Roman" w:cs="Times New Roman" w:eastAsia="Times New Roman" w:hAnsi="Times New Roman"/>
                <w:sz w:val="18"/>
                <w:szCs w:val="18"/>
                <w:color w:val="auto"/>
                <w:w w:val="98"/>
              </w:rPr>
              <w:t>Other comprehensive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 of tax</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9"/>
        </w:trPr>
        <w:tc>
          <w:tcPr>
            <w:tcW w:w="71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10"/>
        </w:trPr>
        <w:tc>
          <w:tcPr>
            <w:tcW w:w="7180" w:type="dxa"/>
            <w:vAlign w:val="bottom"/>
          </w:tcPr>
          <w:p>
            <w:pPr>
              <w:jc w:val="right"/>
              <w:ind w:right="5173"/>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22,150</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360"/>
          </w:cols>
          <w:pgMar w:left="440" w:top="106" w:right="109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10"/>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58"/>
        </w:trPr>
        <w:tc>
          <w:tcPr>
            <w:tcW w:w="4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3"/>
        </w:trPr>
        <w:tc>
          <w:tcPr>
            <w:tcW w:w="4320" w:type="dxa"/>
            <w:vAlign w:val="bottom"/>
          </w:tcPr>
          <w:p>
            <w:pPr>
              <w:spacing w:after="0"/>
              <w:rPr>
                <w:sz w:val="15"/>
                <w:szCs w:val="15"/>
                <w:color w:val="auto"/>
              </w:rPr>
            </w:pPr>
          </w:p>
        </w:tc>
        <w:tc>
          <w:tcPr>
            <w:tcW w:w="21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58"/>
        </w:trPr>
        <w:tc>
          <w:tcPr>
            <w:tcW w:w="432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000" w:type="dxa"/>
            <w:vAlign w:val="bottom"/>
            <w:gridSpan w:val="3"/>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3"/>
        </w:trPr>
        <w:tc>
          <w:tcPr>
            <w:tcW w:w="4320" w:type="dxa"/>
            <w:vAlign w:val="bottom"/>
          </w:tcPr>
          <w:p>
            <w:pPr>
              <w:ind w:left="4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16,794,399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942,254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951,084</w:t>
            </w: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r>
      <w:tr>
        <w:trPr>
          <w:trHeight w:val="198"/>
        </w:trPr>
        <w:tc>
          <w:tcPr>
            <w:tcW w:w="4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Taxes paid related to net share settlement of equity</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(152,818)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(34,419)</w:t>
            </w: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w:t>
            </w: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0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Balance—September 30,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16,977,595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945,958</w:t>
            </w:r>
          </w:p>
        </w:tc>
      </w:tr>
      <w:tr>
        <w:trPr>
          <w:trHeight w:val="20"/>
        </w:trPr>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86"/>
        </w:trPr>
        <w:tc>
          <w:tcPr>
            <w:tcW w:w="43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0"/>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58"/>
        </w:trPr>
        <w:tc>
          <w:tcPr>
            <w:tcW w:w="4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3"/>
        </w:trPr>
        <w:tc>
          <w:tcPr>
            <w:tcW w:w="4320" w:type="dxa"/>
            <w:vAlign w:val="bottom"/>
          </w:tcPr>
          <w:p>
            <w:pPr>
              <w:spacing w:after="0"/>
              <w:rPr>
                <w:sz w:val="15"/>
                <w:szCs w:val="15"/>
                <w:color w:val="auto"/>
              </w:rPr>
            </w:pPr>
          </w:p>
        </w:tc>
        <w:tc>
          <w:tcPr>
            <w:tcW w:w="21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58"/>
        </w:trPr>
        <w:tc>
          <w:tcPr>
            <w:tcW w:w="432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000" w:type="dxa"/>
            <w:vAlign w:val="bottom"/>
            <w:gridSpan w:val="3"/>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3"/>
        </w:trPr>
        <w:tc>
          <w:tcPr>
            <w:tcW w:w="4320" w:type="dxa"/>
            <w:vAlign w:val="bottom"/>
          </w:tcPr>
          <w:p>
            <w:pPr>
              <w:ind w:left="4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2026</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15,918,066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852,117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832,961</w:t>
            </w: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184,360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(62,845)</w:t>
            </w:r>
          </w:p>
        </w:tc>
      </w:tr>
      <w:tr>
        <w:trPr>
          <w:trHeight w:val="198"/>
        </w:trPr>
        <w:tc>
          <w:tcPr>
            <w:tcW w:w="4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Taxes paid related to net share settlement of equity</w:t>
            </w: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4"/>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(89,059)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(18,449)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w:t>
            </w: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24,572</w:t>
            </w: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Balance—September 30, 2026</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15,728,156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782,844</w:t>
            </w:r>
          </w:p>
        </w:tc>
      </w:tr>
      <w:tr>
        <w:trPr>
          <w:trHeight w:val="20"/>
        </w:trPr>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360"/>
          </w:cols>
          <w:pgMar w:left="440" w:top="106" w:right="109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1100" w:right="1520"/>
        <w:spacing w:after="0" w:line="278" w:lineRule="auto"/>
        <w:rPr>
          <w:sz w:val="20"/>
          <w:szCs w:val="20"/>
          <w:color w:val="auto"/>
        </w:rPr>
      </w:pPr>
      <w:r>
        <w:rPr>
          <w:rFonts w:ascii="Times New Roman" w:cs="Times New Roman" w:eastAsia="Times New Roman" w:hAnsi="Times New Roman"/>
          <w:sz w:val="18"/>
          <w:szCs w:val="18"/>
          <w:b w:val="1"/>
          <w:bCs w:val="1"/>
          <w:color w:val="auto"/>
        </w:rPr>
        <w:t>OSI SYSTEMS, INC. AND SUBSIDIARIES CONDENSED CONSOLIDATED STATEMENTS OF CASH FLOWS (UNAUDITED) (amounts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7460" w:type="dxa"/>
            <w:vAlign w:val="bottom"/>
            <w:vMerge w:val="restart"/>
          </w:tcPr>
          <w:p>
            <w:pPr>
              <w:ind w:left="7300"/>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5"/>
        </w:trPr>
        <w:tc>
          <w:tcPr>
            <w:tcW w:w="7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c>
          <w:tcPr>
            <w:tcW w:w="340" w:type="dxa"/>
            <w:vAlign w:val="bottom"/>
            <w:gridSpan w:val="2"/>
          </w:tcPr>
          <w:p>
            <w:pPr>
              <w:jc w:val="right"/>
              <w:ind w:right="116"/>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0"/>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0" w:type="dxa"/>
            <w:vAlign w:val="bottom"/>
          </w:tcPr>
          <w:p>
            <w:pPr>
              <w:spacing w:after="0"/>
              <w:rPr>
                <w:sz w:val="1"/>
                <w:szCs w:val="1"/>
                <w:color w:val="auto"/>
              </w:rPr>
            </w:pPr>
          </w:p>
        </w:tc>
      </w:tr>
      <w:tr>
        <w:trPr>
          <w:trHeight w:val="198"/>
        </w:trPr>
        <w:tc>
          <w:tcPr>
            <w:tcW w:w="74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net of effects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from acquisitions: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liabilities—net of business acquisitions: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0" w:type="dxa"/>
            <w:vAlign w:val="bottom"/>
          </w:tcPr>
          <w:p>
            <w:pPr>
              <w:spacing w:after="0"/>
              <w:rPr>
                <w:sz w:val="1"/>
                <w:szCs w:val="1"/>
                <w:color w:val="auto"/>
              </w:rPr>
            </w:pPr>
          </w:p>
        </w:tc>
      </w:tr>
      <w:tr>
        <w:trPr>
          <w:trHeight w:val="216"/>
        </w:trPr>
        <w:tc>
          <w:tcPr>
            <w:tcW w:w="7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16"/>
        </w:trPr>
        <w:tc>
          <w:tcPr>
            <w:tcW w:w="7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21,510</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16"/>
        </w:trPr>
        <w:tc>
          <w:tcPr>
            <w:tcW w:w="7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Advances from customers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7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0"/>
        </w:trPr>
        <w:tc>
          <w:tcPr>
            <w:tcW w:w="74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0" w:type="dxa"/>
            <w:vAlign w:val="bottom"/>
          </w:tcPr>
          <w:p>
            <w:pPr>
              <w:spacing w:after="0"/>
              <w:rPr>
                <w:sz w:val="1"/>
                <w:szCs w:val="1"/>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(65,508)</w:t>
            </w: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for intangible and other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(79,051)</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borrowings on bank lines of credit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(129,917)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(62,845)</w:t>
            </w: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0" w:type="dxa"/>
            <w:vAlign w:val="bottom"/>
          </w:tcPr>
          <w:p>
            <w:pPr>
              <w:spacing w:after="0"/>
              <w:rPr>
                <w:sz w:val="1"/>
                <w:szCs w:val="1"/>
                <w:color w:val="auto"/>
              </w:rPr>
            </w:pPr>
          </w:p>
        </w:tc>
      </w:tr>
      <w:tr>
        <w:trPr>
          <w:trHeight w:val="210"/>
        </w:trPr>
        <w:tc>
          <w:tcPr>
            <w:tcW w:w="74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(123,534)</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106,405</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359,832</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124,416</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236,298</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net during the period for:</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0" w:type="dxa"/>
            <w:vAlign w:val="bottom"/>
          </w:tcPr>
          <w:p>
            <w:pPr>
              <w:spacing w:after="0"/>
              <w:rPr>
                <w:sz w:val="1"/>
                <w:szCs w:val="1"/>
                <w:color w:val="auto"/>
              </w:rPr>
            </w:pPr>
          </w:p>
        </w:tc>
      </w:tr>
      <w:tr>
        <w:trPr>
          <w:trHeight w:val="209"/>
        </w:trPr>
        <w:tc>
          <w:tcPr>
            <w:tcW w:w="74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60"/>
          </w:cols>
          <w:pgMar w:left="440" w:top="106" w:right="109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1080" w:right="1920"/>
        <w:spacing w:after="0" w:line="278"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CONDENSED CONSOLIDATED FINANCIAL STATEMENTS (Unaudited)</w:t>
      </w:r>
    </w:p>
    <w:p>
      <w:pPr>
        <w:spacing w:after="0" w:line="3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 xml:space="preserve">The unaudited condensed consolidated financial statements include the accounts of OSI Systems, Inc. and our subsidiaries. All significant intercompany accounts and transactions have been eliminated in consolidation. The condensed consolidated financial statements have been prepared by management in accordance with accounting principles generally accepted in the United States of America (“GAAP”) and in conjunction with the rules and regulations of the Securities and Exchange Commission (“SEC”). Certain information and footnote disclosures required for annual financial statements have been condensed or excluded in accordance with SEC rules and regulations and GAAP applicable to interim unaudited financial statements. Accordingly, the condensed consolidated financial statements do not include all of the information and footnotes required by GAAP for audited annual financial statements. In the opinion of management, the condensed consolidated financial statements reflect all adjustments of a normal and recurring nature that are considered necessary for a fair presentation of the results for the interim periods presented. These unaudited condensed consolidated financial statements and the accompanying notes should be read in conjunction with the audited consolidated financial statements and accompanying notes included in our Annual Report on Form 10-K for the fiscal year ended June 30, 2026 filed with the SEC. The results of operations for the three </w:t>
      </w:r>
      <w:r>
        <w:rPr>
          <w:rFonts w:ascii="Times New Roman" w:cs="Times New Roman" w:eastAsia="Times New Roman" w:hAnsi="Times New Roman"/>
          <w:sz w:val="18"/>
          <w:szCs w:val="18"/>
          <w:color w:val="auto"/>
          <w:highlight w:val="white"/>
        </w:rPr>
        <w:t>months ended September 30, 2026</w:t>
      </w:r>
      <w:r>
        <w:rPr>
          <w:rFonts w:ascii="Times New Roman" w:cs="Times New Roman" w:eastAsia="Times New Roman" w:hAnsi="Times New Roman"/>
          <w:sz w:val="18"/>
          <w:szCs w:val="18"/>
          <w:color w:val="auto"/>
        </w:rPr>
        <w:t xml:space="preserve"> are not necessarily indicative of the operating results to be expected for the full 2027 fiscal year or any future periods. Short-term investments of $0.2 million have been reclassified from prepaid expenses and other current assets on the condensed consolidated balance sheet as of June 30, 2026 for consistency with the current period presentation. This reclassification on the condensed consolidated balance sheet had no other effect on the previously reported condensed consolidated financial statements.</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sales, costs of sales and expenses during the reporting period. The most significant of these estimates and assumptions for our company relate to contract revenue, fair values of assets acquired and liabilities assumed in business combinations, values for inventories reported at lower of cost or net realizable value, stock-based compensation expense, income taxes, accrued warranty costs, contingent consideration, allowance for doubtful accounts, and the recoverability, useful lives and valuation of recorded amounts of long-lived assets, identifiable intangible assets and goodwill. Changes in estimates are reflected in the periods during which they become known. Due to the inherent uncertainty involved in making estimates, our actual amounts reported in future periods could differ materially from these estimates.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Earnings Per Share Computations</w:t>
      </w:r>
    </w:p>
    <w:p>
      <w:pPr>
        <w:spacing w:after="0" w:line="227"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available to common stockholders by the weighted average number of common shares outstanding during the period. We compute diluted earnings per share by dividing net income available to common stockholders by the sum of the weighted average number of common shares and dilutive potential common shares outstanding during the period. Potential common shares consist of the shares issuable upon the exercise of stock options and restricted stock unit awards under the treasury stock method. The underlying equity component of the 2.25% convertible senior notes due 2029 (the “2029 Notes”) and the 0.50% convertible senior notes due 2031 (the “2031 Notes”) discussed in Note 8 to the condensed consolidated financial statements will have a net impact on diluted earnings per share when the average price of our common stock exceeds the conversion price of $191.98 for the 2029 Notes and $353.82 for the 2031 Notes because the principal amounts of the respective convertible senior notes will be settled in cash upon conversion. There was a dilutive effect of the 2029 Notes as set forth in the table below for the three months ended September 30, 2026. There was no dilutive impact of the 2031 Notes.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360"/>
          </w:cols>
          <w:pgMar w:left="440" w:top="106" w:right="109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32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Three Months Ended September 30,</w:t>
            </w:r>
          </w:p>
        </w:tc>
        <w:tc>
          <w:tcPr>
            <w:tcW w:w="0" w:type="dxa"/>
            <w:vAlign w:val="bottom"/>
          </w:tcPr>
          <w:p>
            <w:pPr>
              <w:spacing w:after="0"/>
              <w:rPr>
                <w:sz w:val="1"/>
                <w:szCs w:val="1"/>
                <w:color w:val="auto"/>
              </w:rPr>
            </w:pPr>
          </w:p>
        </w:tc>
      </w:tr>
      <w:tr>
        <w:trPr>
          <w:trHeight w:val="156"/>
        </w:trPr>
        <w:tc>
          <w:tcPr>
            <w:tcW w:w="6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tcBorders>
            <w:gridSpan w:val="2"/>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09"/>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16,896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15,899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of 2029 Notes</w:t>
            </w:r>
          </w:p>
        </w:tc>
        <w:tc>
          <w:tcPr>
            <w:tcW w:w="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9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excluded from diluted earnings per share due to their anti-dilutive effect</w:t>
            </w: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consider all highly liquid investments with maturities of three months or less as of the acquisition date to be cash equivalents.</w:t>
      </w:r>
    </w:p>
    <w:p>
      <w:pPr>
        <w:spacing w:after="0" w:line="22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Our cash and cash equivalents totaled $236.3 million at September 30, 2026. Of this amount, approximately 35% was held by our foreign subsidiaries and subject to repatriation tax considerations. These foreign funds were held primarily by our subsidiaries in India, the United Kingdom, Singapore, and Canada. We have cash holdings in financial institutions that exceed insured limits for such financial institutions; however, we mitigate this risk by utilizing international financial institutions of high credit quality.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227"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Our short-term investments consist primarily of U.S. Treasury securities classified as available-for-sale debt securities. These securities are carried at fair value, with unrealized gains and losses recorded in accumulated other comprehensive income (loss), net of tax.</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amortized cost, gross unrealized gains and losses, and fair value of our available-for-sale debt securities were as follows as of</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September 30, 2026 (in thousands):</w:t>
      </w:r>
    </w:p>
    <w:p>
      <w:pPr>
        <w:spacing w:after="0" w:line="24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​Amortized Cost</w:t>
      </w:r>
      <w:r>
        <w:rPr>
          <w:rFonts w:ascii="Times New Roman" w:cs="Times New Roman" w:eastAsia="Times New Roman" w:hAnsi="Times New Roman"/>
          <w:sz w:val="14"/>
          <w:szCs w:val="14"/>
          <w:b w:val="1"/>
          <w:bCs w:val="1"/>
          <w:color w:val="auto"/>
        </w:rPr>
        <w:t xml:space="preserve"> ​​Gross​ Unrealized Gains ​​Gross​ Unrealized Losses ​​​ Fair Value</w:t>
      </w:r>
    </w:p>
    <w:p>
      <w:pPr>
        <w:spacing w:after="0" w:line="27" w:lineRule="exact"/>
        <w:rPr>
          <w:sz w:val="20"/>
          <w:szCs w:val="20"/>
          <w:color w:val="auto"/>
        </w:rPr>
      </w:pPr>
    </w:p>
    <w:p>
      <w:pPr>
        <w:ind w:left="640"/>
        <w:spacing w:after="0"/>
        <w:tabs>
          <w:tab w:leader="none" w:pos="5100" w:val="left"/>
          <w:tab w:leader="none" w:pos="5560" w:val="left"/>
          <w:tab w:leader="none" w:pos="6240" w:val="left"/>
          <w:tab w:leader="none" w:pos="7540" w:val="left"/>
          <w:tab w:leader="none" w:pos="7820" w:val="left"/>
          <w:tab w:leader="none" w:pos="9080" w:val="left"/>
          <w:tab w:leader="none" w:pos="9460" w:val="left"/>
          <w:tab w:leader="none" w:pos="9800" w:val="left"/>
        </w:tabs>
        <w:rPr>
          <w:sz w:val="20"/>
          <w:szCs w:val="20"/>
          <w:color w:val="auto"/>
        </w:rPr>
      </w:pPr>
      <w:r>
        <w:rPr>
          <w:rFonts w:ascii="Times New Roman" w:cs="Times New Roman" w:eastAsia="Times New Roman" w:hAnsi="Times New Roman"/>
          <w:sz w:val="18"/>
          <w:szCs w:val="18"/>
          <w:color w:val="auto"/>
        </w:rPr>
        <w:t>U.S. Treasury securities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65,556</w:t>
        <w:tab/>
        <w:t>$</w:t>
      </w:r>
      <w:r>
        <w:rPr>
          <w:sz w:val="20"/>
          <w:szCs w:val="20"/>
          <w:color w:val="auto"/>
        </w:rPr>
        <w:tab/>
      </w:r>
      <w:r>
        <w:rPr>
          <w:rFonts w:ascii="Times New Roman" w:cs="Times New Roman" w:eastAsia="Times New Roman" w:hAnsi="Times New Roman"/>
          <w:sz w:val="18"/>
          <w:szCs w:val="18"/>
          <w:color w:val="auto"/>
        </w:rPr>
        <w:t>2</w:t>
        <w:tab/>
        <w:t>$</w:t>
      </w:r>
      <w:r>
        <w:rPr>
          <w:sz w:val="20"/>
          <w:szCs w:val="20"/>
          <w:color w:val="auto"/>
        </w:rPr>
        <w:tab/>
      </w:r>
      <w:r>
        <w:rPr>
          <w:rFonts w:ascii="Times New Roman" w:cs="Times New Roman" w:eastAsia="Times New Roman" w:hAnsi="Times New Roman"/>
          <w:sz w:val="18"/>
          <w:szCs w:val="18"/>
          <w:color w:val="auto"/>
        </w:rPr>
        <w:t>12</w:t>
        <w:tab/>
        <w:t>$</w:t>
        <w:tab/>
        <w:t>65,546</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All of our available-for-sale debt securities outstanding at September 30, 2026 were contractually scheduled to mature within one year.</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Our financial instruments consist primarily of cash and cash equivalents, short-term investments, insurance company contracts, accounts receivable, accounts payable, debt instruments, an interest rate swap contract and foreign currency forward contracts. The carrying values of financial instruments, other than long-term debt instruments and our interest rate swap contract, are representative of their fair values due to their short-term maturities. The carrying values of our term loan and lease obligations are considered to approximate their fair values because the interest rates of these instruments are variable or comparable to current rates for financing available to us. The fair values of our foreign currency forward contracts were not significant as of June 30, 2026 or as of September 30, 2026.</w:t>
      </w:r>
    </w:p>
    <w:p>
      <w:pPr>
        <w:spacing w:after="0" w:line="18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in the sale of an asset or paid to transfer a liability in an orderly transaction between market participants at the measurement date. The “Level 1” category comprises assets and liabilities measured at quoted prices in active markets for identical assets and liabilities. The “Level 2” category comprises assets and liabilities measured from observable inputs other than quoted market prices. The “Level 3” category comprises assets and liabilities for which valuation inputs are unobservable and significant to the fair value measurement. Our contingent payment obligations related to acquisitions, which are further discussed in Note 10 to the condensed consolidated financial statements, are in the “Level 3” category for valuation purposes.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360"/>
          </w:cols>
          <w:pgMar w:left="440" w:top="106" w:right="109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fair values of our financial assets and liabilities are categorized as follows (in thousands):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60" w:type="dxa"/>
            <w:vAlign w:val="bottom"/>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Assets—Insurance company</w:t>
            </w: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60" w:type="dxa"/>
            <w:vAlign w:val="bottom"/>
            <w:vMerge w:val="continue"/>
            <w:shd w:val="clear" w:color="auto" w:fill="CCEEFF"/>
          </w:tcPr>
          <w:p>
            <w:pPr>
              <w:spacing w:after="0"/>
              <w:rPr>
                <w:sz w:val="15"/>
                <w:szCs w:val="15"/>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34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65,402</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contracts</w:t>
            </w:r>
          </w:p>
        </w:tc>
        <w:tc>
          <w:tcPr>
            <w:tcW w:w="28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Assets – Interest rate swap contract</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ind w:lef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503</w:t>
            </w: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97"/>
        </w:trPr>
        <w:tc>
          <w:tcPr>
            <w:tcW w:w="26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 Short-term investments</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65,702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65,702</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Liabilities—Convertible notes</w:t>
            </w: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ind w:lef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1,005,418</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1,005,418</w:t>
            </w: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931,472</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931,472</w:t>
            </w:r>
          </w:p>
        </w:tc>
        <w:tc>
          <w:tcPr>
            <w:tcW w:w="0" w:type="dxa"/>
            <w:vAlign w:val="bottom"/>
          </w:tcPr>
          <w:p>
            <w:pPr>
              <w:spacing w:after="0"/>
              <w:rPr>
                <w:sz w:val="1"/>
                <w:szCs w:val="1"/>
                <w:color w:val="auto"/>
              </w:rPr>
            </w:pPr>
          </w:p>
        </w:tc>
      </w:tr>
      <w:tr>
        <w:trPr>
          <w:trHeight w:val="165"/>
        </w:trPr>
        <w:tc>
          <w:tcPr>
            <w:tcW w:w="26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Liabilities—Contingent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18,112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34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consideration</w:t>
            </w:r>
          </w:p>
        </w:tc>
        <w:tc>
          <w:tcPr>
            <w:tcW w:w="28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Activity</w:t>
      </w:r>
    </w:p>
    <w:p>
      <w:pPr>
        <w:spacing w:after="0" w:line="227"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Our use of derivatives consists of foreign currency forward contracts, a cross-currency interest rate swap contract and an interest rate swap agreement. Our foreign currency forward contracts are utilized to partially mitigate certain balance sheet exposures or used as a net investment hedge to protect against potential changes resulting from short-term foreign currency fluctuations. These contracts have original maturities of up to three months. We use a cross-currency interest rate swap contract to hedge our net investment in a foreign subsidiary. We also manage our risk to changes in interest rates using derivative instruments. We use fixed interest rate swaps to effectively convert a portion of the variable interest rate payments to fixed interest rate payments. We do not use hedging instruments for speculative purposes.</w:t>
      </w:r>
    </w:p>
    <w:p>
      <w:pPr>
        <w:spacing w:after="0" w:line="18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net gains or losses from our foreign currency forward contracts, which are not designated as hedge instruments, are reported in the consolidated statements of operations, and the amounts reported for the three months ended September 30, 2025 and 2026 were not significant. The fair value of our foreign currency forward contracts is estimated using a standard valuation model and market-based observable inputs over the contractual term. Unrealized gains are recognized as assets and unrealized losses are recognized as liabilities. As of June 30, 2026 and September 30, 2026, we held foreign currency forward contracts with notional amounts totaling $138.0 million and $94.1 million, respectively. Unrealized gains and losses from our foreign currency forward contracts as of June 30, 2026 and September 30, 2026 were not significant.</w:t>
      </w:r>
    </w:p>
    <w:p>
      <w:pPr>
        <w:spacing w:after="0" w:line="18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In July 2026, we settled our previously outstanding cross-currency interest rate swap and concurrently entered into a replacement contract extending the maturity from June 2027 to December 2027. The net settlement amount was not significant. The net gains or losses from our cross-currency interest rate swap contract, which is designated as a net investment hedge instrument in a foreign subsidiary, are reported in accumulated other comprehensive loss in the consolidated statements of stockholders’ equity, and the amount reported for the three months ended September 30, 2026 was not significant. The fair value of our cross-currency interest rate swap contract is estimated using a standard valuation model and market-based observable inputs over the contractual term. Unrealized gains are recognized as assets and unrealized losses are recognized as liabilities. As of June 30, 2026 and September 30, 2026, the notional amount of this contract was $35.0 million. The unrealized gains from our cross-currency interest rate swap contract as of June 30, 2026 and September 30, 2026 were not significant. The net interest rate benefit from this contract recognized in interest and other expense, net was not significant for the three months ended September 30, 2026.</w:t>
      </w:r>
    </w:p>
    <w:p>
      <w:pPr>
        <w:spacing w:after="0" w:line="19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The interest rate swap agreement was entered into to improve the predictability of cash flows from interest payments related to our variable, Secured Overnight Financing Rate (“SOFR”) based debt. The interest rate swap matures in December 2026. The interest rate swap is considered an effective cash flow hedge, and as a result, the net gains or losses on such instrument are reported as a component of other comprehensive income (loss) in our consolidated financial statements and are reclassified as net income when the underlying hedged interest impacts earnings. A qualitative and quantitative assessment of the interest rate swap hedge effectiveness is performed on a quarterly basis, unless facts and circumstances indicate that the hedge may no longer be highly effective. As of June 30, 2026 and September 30, 2026, the notional amount of the interest rate swap hedge derivative instrument was $175 million. The fair value of the interest rate swap contract as of June 30, 2026 and September 30, 2026 is recorded in Other assets within the consolidated balance sheet.</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360"/>
          </w:cols>
          <w:pgMar w:left="440" w:top="106" w:right="109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effect of the cash flow hedges on other comprehensive income (loss) and earnings for the periods presented was as follows: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26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56"/>
        </w:trPr>
        <w:tc>
          <w:tcPr>
            <w:tcW w:w="7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r>
      <w:tr>
        <w:trPr>
          <w:trHeight w:val="178"/>
        </w:trPr>
        <w:tc>
          <w:tcPr>
            <w:tcW w:w="71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interest and other expense, net presented in the condensed consolidated statements of</w:t>
            </w: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23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operations in which the effects of cash flow hedges are recorded</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(7,398)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Loss recognized in other comprehensive loss, net of tax</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198"/>
        </w:trPr>
        <w:tc>
          <w:tcPr>
            <w:tcW w:w="7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Hedge benefit reclassified from accumulated other comprehensive income (loss) to interest and</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bl>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other regulatory bodies that are adopted as of the specified effective dates. Unless otherwise discussed, management believes that the impact of recently issued standards, which are not yet effective, will not have a material impact on our Consolidated Financial Statements upon adoption.</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Accounting Guidance Adopted</w:t>
      </w:r>
    </w:p>
    <w:p>
      <w:pPr>
        <w:spacing w:after="0" w:line="173"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In December 2024, the FASB issued Accounting Standards Update 2024-04, “Debt - Debt with Conversion and Other Options (Subtopic 470-20): Induced Conversions of Convertible Debt Instruments” (“ASU 2024-04”), which clarifies the accounting for induced conversions of convertible debt instruments by requiring entities to apply the inducement guidance regardless of whether the convertible debt instrument includes a cash conversion feature or is otherwise within the scope of Subtopic 470-20. We adopted ASU 2024-04 on July 1, 2026 on a prospective basis; there were no settlements or inducement offers related to our 2029 Notes or 2031 Notes during the three months ended September 30, 2026, therefore the adoption had no impact on our condensed consolidated financial statements.</w:t>
      </w:r>
    </w:p>
    <w:p>
      <w:pPr>
        <w:spacing w:after="0" w:line="18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In July 2025, the FASB issued Accounting Standards Update 2025-05, “Financial Instruments—Credit Losses (Topic 326): Measurement of Credit Losses for Accounts Receivable and Contract Assets” (“ASU 2025-05”) which provides a practical expedient that permits an entity, when developing reasonable and supportable forecasts for current accounts receivable and current contract assets arising from transactions accounted for under ASC 606, to assume that conditions existing as of the balance sheet date will remain unchanged for the remaining life of those assets. We adopted ASU 2025-05 on July 1, 2026 on a prospective basis, and elected to apply the practical expedient which did not have a material impact on our condensed consolidated financial statements.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27"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Statement-Reporting Comprehensive Income (Topic 220): Expense Disaggregation Disclosures”, (“ASU 2024-03”) which requires additional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ASU 2024-03 is effective for annual periods beginning after December 15, 2026, and interim periods within annual reporting periods beginning after December 15, 2027. Early adoption is permitted and may be applied either on a prospective or retrospective basis. We are evaluating the potential impact of ASU 2024-03 on disclosures in our Consolidated Financial Statements which will be effective beginning with our Form 10-K for fiscal year 2028.</w:t>
      </w:r>
    </w:p>
    <w:p>
      <w:pPr>
        <w:spacing w:after="0" w:line="188"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 - Goodwill and Other - Internal-Use Software (Subtopic 350-40): Targeted Improvements to the Accounting for Internal-Use Software” (“ASU 2025-06”) which modernizes the accounting for internal-use software to current development practices, clarifies when to begin capitalizing costs and enhances disclosure requirements. This standard is effective for annual reporting periods beginning after December 15, 2027, including interim periods within those annual periods. Early adoption is permitted. The amendments are to be applied retrospectively, prospectively, or a modified transition approach may be used based on the status of the project and whether software costs were capitalized before the date of adoption. We are evaluating the potential impact of ASU 2025-06 on our Consolidated Financial Statements and related disclosures which will be effective beginning with our Form 10-Q for the first quarter of fiscal year 2029 and our Form 10-K for fiscal year 2029.</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360"/>
          </w:cols>
          <w:pgMar w:left="440" w:top="106" w:right="109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Accounting Standards Update 2025-11, “Interim Reporting (Topic 270): Narrow-Scope Improvements” (“ASU 2025-11”), which clarifies the application, form and content, and required disclosures for interim financial statements prepared in accordance with GAAP. ASU 2025-11 is effective for interim periods within annual reporting periods beginning after December 15, 2027, with early adoption permitted. We are evaluating the potential impact of ASU 2025-11 on disclosures in our Consolidated Financial Statements which will be effective for interim periods beginning in fiscal year 2029.</w:t>
      </w:r>
    </w:p>
    <w:p>
      <w:pPr>
        <w:spacing w:after="0" w:line="183"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Accounting Standards Update 2025-12, “Codification Improvements” (“ASU 2025-12”). ASU 2025-12 includes changes that clarify, correct, or otherwise improve certain components of the Accounting Standards Codification. The improvements consist of narrow-scope amendments, technical corrections, clarification of existing guidance, and updates to clarify the appropriate scope and application of certain disclosure requirements. ASU 2025-12 is effective for annual periods beginning after December 15, 2026, and interim reporting periods within those annual reporting periods, with early adoption permitted. We are evaluating the potential impact of ASU 2025-12 on disclosures in our Consolidated Financial Statements which will be effective for interim periods beginning in fiscal year 2028.</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2. Business Combinations</w:t>
      </w:r>
    </w:p>
    <w:p>
      <w:pPr>
        <w:spacing w:after="0" w:line="227"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 xml:space="preserve">Under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acquisition method of accounting requires us to record assets acquired and liabilities assumed from an acquisition at their estimated fair values at the date of acquisition. Any excess of the total estimated purchase price over the estimated fair value of the net assets acquired should be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Management’s estimates of fair value are based on assumptions which are believed to be reasonable, but which are inherently uncertain and unpredictable and, as a result, actual results may differ from estimates. During the measurement period for fair value, which is up to one year from the acquisition date, as additional information that existed at the acquisition date becomes available, we may record adjustments to the preliminary assets acquired and liabilities assumed. Upon the conclusion of the measurement period, any subsequent adjustments are included in earnings. There were no new business combinations during the first quarter of fiscal year 2027. However, we recorded measurement period adjustments related to a prior acquisition from fiscal year 2026 during the quarter which were not significant.</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3. Balance Sheet Details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set forth details of selected balance sheet accounts (in thousands):</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785,505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768,328</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r>
      <w:tr>
        <w:trPr>
          <w:trHeight w:val="210"/>
        </w:trPr>
        <w:tc>
          <w:tcPr>
            <w:tcW w:w="7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746,864</w:t>
            </w:r>
          </w:p>
        </w:tc>
      </w:tr>
      <w:tr>
        <w:trPr>
          <w:trHeight w:val="20"/>
        </w:trPr>
        <w:tc>
          <w:tcPr>
            <w:tcW w:w="7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r>
      <w:tr>
        <w:trPr>
          <w:trHeight w:val="374"/>
        </w:trPr>
        <w:tc>
          <w:tcPr>
            <w:tcW w:w="7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297,655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86,913</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78,799</w:t>
            </w:r>
          </w:p>
        </w:tc>
      </w:tr>
      <w:tr>
        <w:trPr>
          <w:trHeight w:val="209"/>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415,562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463,367</w:t>
            </w:r>
          </w:p>
        </w:tc>
      </w:tr>
      <w:tr>
        <w:trPr>
          <w:trHeight w:val="20"/>
        </w:trPr>
        <w:tc>
          <w:tcPr>
            <w:tcW w:w="7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360"/>
          </w:cols>
          <w:pgMar w:left="440" w:top="106" w:right="109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Buildings, civil works and improvements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51,093</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Equipment, tooling, furniture and fixtures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163,009</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28,373</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32,540</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implementation in process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w:t>
            </w:r>
          </w:p>
        </w:tc>
      </w:tr>
      <w:tr>
        <w:trPr>
          <w:trHeight w:val="209"/>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329,182</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(191,618)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(196,654)</w:t>
            </w:r>
          </w:p>
        </w:tc>
      </w:tr>
      <w:tr>
        <w:trPr>
          <w:trHeight w:val="210"/>
        </w:trPr>
        <w:tc>
          <w:tcPr>
            <w:tcW w:w="7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132,528</w:t>
            </w:r>
          </w:p>
        </w:tc>
      </w:tr>
      <w:tr>
        <w:trPr>
          <w:trHeight w:val="20"/>
        </w:trPr>
        <w:tc>
          <w:tcPr>
            <w:tcW w:w="7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$5.4 million and $5.5 million, respectively, for the three months ended September 30, 2025 and 2026.</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The changes in the carrying value of goodwill by segment for the three-month period ended September 30, 2026 were as follows (in thousands):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Optoelectronics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4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5"/>
                <w:szCs w:val="15"/>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4580" w:type="dxa"/>
            <w:vAlign w:val="bottom"/>
          </w:tcPr>
          <w:p>
            <w:pPr>
              <w:spacing w:after="0"/>
              <w:rPr>
                <w:sz w:val="15"/>
                <w:szCs w:val="15"/>
                <w:color w:val="auto"/>
              </w:rPr>
            </w:pPr>
          </w:p>
        </w:tc>
        <w:tc>
          <w:tcPr>
            <w:tcW w:w="10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8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Consolidated</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286,918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406,677</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Goodwill adjustments during the period (see Note 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9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407,629</w:t>
            </w:r>
          </w:p>
        </w:tc>
      </w:tr>
      <w:tr>
        <w:trPr>
          <w:trHeight w:val="20"/>
        </w:trPr>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Borders>
              <w:bottom w:val="single" w:sz="8" w:color="auto"/>
            </w:tcBorders>
            <w:gridSpan w:val="7"/>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44"/>
        </w:trPr>
        <w:tc>
          <w:tcPr>
            <w:tcW w:w="3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jc w:val="right"/>
              <w:ind w:right="119"/>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1"/>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6"/>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Intangibles</w:t>
            </w:r>
          </w:p>
        </w:tc>
        <w:tc>
          <w:tcPr>
            <w:tcW w:w="1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Intangibles</w:t>
            </w:r>
          </w:p>
        </w:tc>
      </w:tr>
      <w:tr>
        <w:trPr>
          <w:trHeight w:val="173"/>
        </w:trPr>
        <w:tc>
          <w:tcPr>
            <w:tcW w:w="3200" w:type="dxa"/>
            <w:vAlign w:val="bottom"/>
          </w:tcPr>
          <w:p>
            <w:pPr>
              <w:spacing w:after="0"/>
              <w:rPr>
                <w:sz w:val="15"/>
                <w:szCs w:val="15"/>
                <w:color w:val="auto"/>
              </w:rPr>
            </w:pPr>
          </w:p>
        </w:tc>
        <w:tc>
          <w:tcPr>
            <w:tcW w:w="1980" w:type="dxa"/>
            <w:vAlign w:val="bottom"/>
            <w:gridSpan w:val="2"/>
          </w:tcPr>
          <w:p>
            <w:pPr>
              <w:jc w:val="right"/>
              <w:ind w:right="139"/>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Value</w:t>
            </w:r>
          </w:p>
        </w:tc>
        <w:tc>
          <w:tcPr>
            <w:tcW w:w="1020" w:type="dxa"/>
            <w:vAlign w:val="bottom"/>
            <w:gridSpan w:val="4"/>
          </w:tcPr>
          <w:p>
            <w:pPr>
              <w:jc w:val="right"/>
              <w:ind w:right="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Amortization</w:t>
            </w: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Net</w:t>
            </w:r>
          </w:p>
        </w:tc>
        <w:tc>
          <w:tcPr>
            <w:tcW w:w="880" w:type="dxa"/>
            <w:vAlign w:val="bottom"/>
            <w:gridSpan w:val="2"/>
          </w:tcPr>
          <w:p>
            <w:pPr>
              <w:jc w:val="right"/>
              <w:ind w:right="12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Value</w:t>
            </w:r>
          </w:p>
        </w:tc>
        <w:tc>
          <w:tcPr>
            <w:tcW w:w="980" w:type="dxa"/>
            <w:vAlign w:val="bottom"/>
            <w:gridSpan w:val="4"/>
          </w:tcPr>
          <w:p>
            <w:pPr>
              <w:jc w:val="right"/>
              <w:ind w:right="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Amortization</w:t>
            </w:r>
            <w:r>
              <w:rPr>
                <w:rFonts w:ascii="Arial" w:cs="Arial" w:eastAsia="Arial" w:hAnsi="Arial"/>
                <w:sz w:val="14"/>
                <w:szCs w:val="14"/>
                <w:color w:val="auto"/>
              </w:rPr>
              <w:t>​</w:t>
            </w:r>
          </w:p>
        </w:tc>
        <w:tc>
          <w:tcPr>
            <w:tcW w:w="820" w:type="dxa"/>
            <w:vAlign w:val="bottom"/>
            <w:gridSpan w:val="2"/>
          </w:tcPr>
          <w:p>
            <w:pPr>
              <w:jc w:val="right"/>
              <w:ind w:right="176"/>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Net</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assets:</w:t>
            </w:r>
          </w:p>
        </w:tc>
        <w:tc>
          <w:tcPr>
            <w:tcW w:w="1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$ 108,164</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$ 113,798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$ 101,434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(19,872)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w:t>
            </w:r>
          </w:p>
        </w:tc>
      </w:tr>
      <w:tr>
        <w:trPr>
          <w:trHeight w:val="210"/>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amortizable assets</w:t>
            </w:r>
          </w:p>
        </w:tc>
        <w:tc>
          <w:tcPr>
            <w:tcW w:w="1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191,865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150,011</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152,268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Non-amortizable assets: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42,387</w:t>
            </w:r>
          </w:p>
        </w:tc>
      </w:tr>
      <w:tr>
        <w:trPr>
          <w:trHeight w:val="210"/>
        </w:trPr>
        <w:tc>
          <w:tcPr>
            <w:tcW w:w="3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$ 234,209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192,355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$ 239,728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$ 194,655</w:t>
            </w:r>
          </w:p>
        </w:tc>
      </w:tr>
      <w:tr>
        <w:trPr>
          <w:trHeight w:val="20"/>
        </w:trPr>
        <w:tc>
          <w:tcPr>
            <w:tcW w:w="3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$4.9 million and $3.6 million for the three months ended September 30, 2025 and 2026, respectively.</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360"/>
          </w:cols>
          <w:pgMar w:left="440" w:top="106" w:right="109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September 30, 2026, the estimated future amortization expense for amortizable intangible assets was as follows (in thousands):</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0"/>
        </w:trPr>
        <w:tc>
          <w:tcPr>
            <w:tcW w:w="860" w:type="dxa"/>
            <w:vAlign w:val="bottom"/>
            <w:tcBorders>
              <w:top w:val="single" w:sz="8" w:color="auto"/>
            </w:tcBorders>
          </w:tcPr>
          <w:p>
            <w:pPr>
              <w:spacing w:after="0"/>
              <w:rPr>
                <w:sz w:val="21"/>
                <w:szCs w:val="21"/>
                <w:color w:val="auto"/>
              </w:rPr>
            </w:pPr>
          </w:p>
        </w:tc>
        <w:tc>
          <w:tcPr>
            <w:tcW w:w="43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(remaining 9 months)</w:t>
            </w:r>
          </w:p>
        </w:tc>
        <w:tc>
          <w:tcPr>
            <w:tcW w:w="37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3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43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r>
      <w:tr>
        <w:trPr>
          <w:trHeight w:val="216"/>
        </w:trPr>
        <w:tc>
          <w:tcPr>
            <w:tcW w:w="5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104,828</w:t>
            </w:r>
          </w:p>
        </w:tc>
      </w:tr>
      <w:tr>
        <w:trPr>
          <w:trHeight w:val="21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152,268</w:t>
            </w:r>
          </w:p>
        </w:tc>
      </w:tr>
      <w:tr>
        <w:trPr>
          <w:trHeight w:val="20"/>
        </w:trPr>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Software development costs for software products incurred before establishing technological feasibility are charged to operations. Software development costs incurred after establishing technological feasibility are capitalized on a product-by-product basis until the product is available for general release to customers at which time amortization begins. 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 Amortizable assets that have not yet begun to be amortized are included in “Thereafter” in the table above. For each of the three months ended September 30, 2025 and 2026, we capitalized software development costs of $4.2 million and $5.6 million, respectively.</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5. Contract Assets and Liabilities</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 xml:space="preserve">We enter into contracts to sell products and provide services, and we recognize contract assets and liabilities that arise from these transactions. We recognize revenue and corresponding accounts receivable according to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When we recognize revenue in advance of the point in time at which contracts give us the right to invoice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we record this as unbilled revenue, which is included in accounts receivable, net, on the consolidated balance sheets. We may also receive consideration, per the terms of a contract, from customers prior to transferring control of goods to the customer. We record customer deposits as contract liabilities. Additionally, we may receive payments, most typically under service and warranty contracts, at the onset of the contract and before services have been performed. In such instances, we record a deferred revenue liability in either Current liabilities or Other long-term liabilities. We recognize these contract liabilities as sales after all revenue recognition criteria are met.</w:t>
      </w:r>
    </w:p>
    <w:p>
      <w:pPr>
        <w:spacing w:after="0" w:line="188"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The table below shows the balance of contract assets and liabilities as of June 30, 2026 and September 30, 2026, including the change between such dates. There were no substantial non-current contract assets for the periods presented.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Contract Assets (in thousands)</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2640" w:type="dxa"/>
            <w:vAlign w:val="bottom"/>
          </w:tcPr>
          <w:p>
            <w:pPr>
              <w:spacing w:after="0"/>
              <w:rPr>
                <w:sz w:val="15"/>
                <w:szCs w:val="15"/>
                <w:color w:val="auto"/>
              </w:rPr>
            </w:pPr>
          </w:p>
        </w:tc>
        <w:tc>
          <w:tcPr>
            <w:tcW w:w="184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 (included in accounts receivable,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190,913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224,998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39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 Liabilities (in thousands)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1"/>
        </w:trPr>
        <w:tc>
          <w:tcPr>
            <w:tcW w:w="264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7"/>
        </w:trPr>
        <w:tc>
          <w:tcPr>
            <w:tcW w:w="2640" w:type="dxa"/>
            <w:vAlign w:val="bottom"/>
          </w:tcPr>
          <w:p>
            <w:pPr>
              <w:spacing w:after="0"/>
              <w:rPr>
                <w:sz w:val="16"/>
                <w:szCs w:val="16"/>
                <w:color w:val="auto"/>
              </w:rPr>
            </w:pPr>
          </w:p>
        </w:tc>
        <w:tc>
          <w:tcPr>
            <w:tcW w:w="184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9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revenue—current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revenue—long-term</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9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Unbilled revenue increased by $34.1 million primarily reflecting continued execution on certain Security Division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where we met the revenue recognition criteria under ASC 606 in advance of contractual billing milestones, partially offset by reductions for billings due to the timing and nature of achievement of milestones during the quarter giving us the right to invoice customers.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360"/>
          </w:cols>
          <w:pgMar w:left="440" w:top="106" w:right="109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Advances from customers increased by $21.7 million primarily due to the receipt of customer deposits on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our Security division in advance of performance, partially offset by the application of certain amounts to customer invoices during the period. Total deferred revenue decreased by $1.7 million primarily due to recognition of service revenue for performance of obligations during the period, partially offset by service contracts which allow us to collect payment prior to performance of these obligations.</w:t>
      </w:r>
    </w:p>
    <w:p>
      <w:pPr>
        <w:spacing w:after="0" w:line="183"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Remaining performance obligations related to ASC 606 represent the portion of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allocated to performance obligations under contracts which are fully or partially unsatisfied at the end of the period. As of September 30, 2026, the aggregate portion of the transaction price allocated to remaining performance obligations was approximately $2.0 billion. As of September 30, 2026, we expect to recognize revenue on approximately 64% of the remaining performance obligations over the next 12 months, and the remainder is expected to be recognized thereafter. During the three months ended September 30, 2026, we recognized revenue of $37.8 million from contract liabilities existing at the beginning of the period.</w:t>
      </w:r>
    </w:p>
    <w:p>
      <w:pPr>
        <w:spacing w:after="0" w:line="18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w:t>
      </w:r>
      <w:r>
        <w:rPr>
          <w:rFonts w:ascii="Times New Roman" w:cs="Times New Roman" w:eastAsia="Times New Roman" w:hAnsi="Times New Roman"/>
          <w:sz w:val="18"/>
          <w:szCs w:val="18"/>
          <w:color w:val="auto"/>
        </w:rPr>
        <w:t>In cases where we are responsible for shipping after the customer has obtained control of the goods,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to treat the shipping activities as fulfillment activities rather than as a separate performance obligation. Additionally, we have elected to capitalize the cost to obtain a contract only if the period of amortization would be longer than one year. We only give consideration to whether a customer agreement has a financing component if the period of time between transfer of goods and services and customer payment is greater than one year.</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20" w:type="dxa"/>
            <w:vAlign w:val="bottom"/>
            <w:tcBorders>
              <w:top w:val="single" w:sz="8" w:color="auto"/>
            </w:tcBorders>
            <w:gridSpan w:val="3"/>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gridSpan w:val="2"/>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3,457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4,012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related to operating leases were as follows (in thousands):</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640" w:type="dxa"/>
            <w:vAlign w:val="bottom"/>
            <w:gridSpan w:val="2"/>
          </w:tcPr>
          <w:p>
            <w:pPr>
              <w:ind w:left="3420"/>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Balance Sheet Category</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60" w:type="dxa"/>
            <w:vAlign w:val="bottom"/>
          </w:tcPr>
          <w:p>
            <w:pPr>
              <w:spacing w:after="0"/>
              <w:rPr>
                <w:sz w:val="24"/>
                <w:szCs w:val="24"/>
                <w:color w:val="auto"/>
              </w:rPr>
            </w:pPr>
          </w:p>
        </w:tc>
        <w:tc>
          <w:tcPr>
            <w:tcW w:w="166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September 30, 2026</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ROU assets, net</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2960" w:type="dxa"/>
            <w:vAlign w:val="bottom"/>
            <w:tcBorders>
              <w:top w:val="single" w:sz="8" w:color="auto"/>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jc w:val="center"/>
              <w:ind w:right="54"/>
              <w:spacing w:after="0" w:line="198" w:lineRule="exact"/>
              <w:rPr>
                <w:sz w:val="20"/>
                <w:szCs w:val="20"/>
                <w:color w:val="auto"/>
              </w:rPr>
            </w:pPr>
            <w:r>
              <w:rPr>
                <w:rFonts w:ascii="Times New Roman" w:cs="Times New Roman" w:eastAsia="Times New Roman" w:hAnsi="Times New Roman"/>
                <w:sz w:val="18"/>
                <w:szCs w:val="18"/>
                <w:color w:val="auto"/>
              </w:rPr>
              <w:t>Other accrued expenses and current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96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w w:val="98"/>
              </w:rPr>
              <w:t>liabilities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4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960" w:type="dxa"/>
            <w:vAlign w:val="bottom"/>
            <w:tcBorders>
              <w:bottom w:val="single" w:sz="8" w:color="CCEEFF"/>
            </w:tcBorders>
          </w:tcPr>
          <w:p>
            <w:pPr>
              <w:jc w:val="center"/>
              <w:ind w:right="34"/>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35,678</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41,487</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48,793</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(in thousands):</w:t>
      </w:r>
    </w:p>
    <w:p>
      <w:pPr>
        <w:spacing w:after="0" w:line="25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12" w:lineRule="exact"/>
        <w:rPr>
          <w:sz w:val="20"/>
          <w:szCs w:val="20"/>
          <w:color w:val="auto"/>
        </w:rPr>
      </w:pPr>
    </w:p>
    <w:tbl>
      <w:tblPr>
        <w:tblLayout w:type="fixed"/>
        <w:tblInd w:w="640" w:type="dxa"/>
        <w:tblCellMar>
          <w:top w:w="0" w:type="dxa"/>
          <w:left w:w="0" w:type="dxa"/>
          <w:bottom w:w="0" w:type="dxa"/>
          <w:right w:w="0" w:type="dxa"/>
        </w:tblCellMar>
      </w:tblPr>
      <w:tr>
        <w:trPr>
          <w:trHeight w:val="155"/>
        </w:trPr>
        <w:tc>
          <w:tcPr>
            <w:tcW w:w="7460" w:type="dxa"/>
            <w:vAlign w:val="bottom"/>
          </w:tcPr>
          <w:p>
            <w:pPr>
              <w:ind w:left="73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tcBorders>
            <w:gridSpan w:val="2"/>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360"/>
          </w:cols>
          <w:pgMar w:left="440" w:top="106" w:right="109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Maturities of operating lease liabilities at September 30, 2026 were as follows (in thousands):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8300" w:type="dxa"/>
            <w:vAlign w:val="bottom"/>
            <w:tcBorders>
              <w:bottom w:val="single" w:sz="8" w:color="CCEEFF"/>
            </w:tcBorders>
          </w:tcPr>
          <w:p>
            <w:pPr>
              <w:ind w:left="8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 5 years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r>
      <w:tr>
        <w:trPr>
          <w:trHeight w:val="216"/>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18,142</w:t>
            </w:r>
          </w:p>
        </w:tc>
      </w:tr>
      <w:tr>
        <w:trPr>
          <w:trHeight w:val="209"/>
        </w:trPr>
        <w:tc>
          <w:tcPr>
            <w:tcW w:w="8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w:t>
            </w:r>
          </w:p>
        </w:tc>
      </w:tr>
      <w:tr>
        <w:trPr>
          <w:trHeight w:val="216"/>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w:t>
            </w:r>
          </w:p>
        </w:tc>
      </w:tr>
      <w:tr>
        <w:trPr>
          <w:trHeight w:val="210"/>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w:t>
            </w:r>
          </w:p>
        </w:tc>
      </w:tr>
      <w:tr>
        <w:trPr>
          <w:trHeight w:val="20"/>
        </w:trPr>
        <w:tc>
          <w:tcPr>
            <w:tcW w:w="8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7. Restructuring and Other charges</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We endeavor to align our global capacity and infrastructure with demand by our customers as well as fully integrate acquisitions and thereby improve operational efficiency.</w:t>
      </w:r>
    </w:p>
    <w:p>
      <w:pPr>
        <w:spacing w:after="0" w:line="162"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we recognized $2.1 million in restructuring and other charges, which included $0.2 million for acquisition-related costs, $0.5 million for employee terminations, $0.1 million for facility closures, $0.3 million in legal charges, and $1.0 million for non-recurring charges in the Security and Healthcare divisions.</w:t>
      </w:r>
    </w:p>
    <w:p>
      <w:pPr>
        <w:spacing w:after="0" w:line="176"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we recognized $2.7 million in restructuring and other charges, which included $2.4 million primarily for non-recurring charges in the Security and Healthcare divisions and $0.3 million for employee terminations.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summarize restructuring and other charges for the periods set forth below (in thousands):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Optoelectronics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5"/>
        </w:trPr>
        <w:tc>
          <w:tcPr>
            <w:tcW w:w="2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7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Security Division</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10"/>
        </w:trPr>
        <w:tc>
          <w:tcPr>
            <w:tcW w:w="2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r>
      <w:tr>
        <w:trPr>
          <w:trHeight w:val="20"/>
        </w:trPr>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5"/>
        </w:trPr>
        <w:tc>
          <w:tcPr>
            <w:tcW w:w="2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44"/>
        </w:trPr>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Optoelectronics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5"/>
        </w:trPr>
        <w:tc>
          <w:tcPr>
            <w:tcW w:w="2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7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Security Division</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closure/consolidation</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Legal and other expense</w:t>
            </w:r>
          </w:p>
        </w:tc>
        <w:tc>
          <w:tcPr>
            <w:tcW w:w="7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09"/>
        </w:trPr>
        <w:tc>
          <w:tcPr>
            <w:tcW w:w="2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0"/>
        </w:trPr>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360"/>
          </w:cols>
          <w:pgMar w:left="440" w:top="106" w:right="109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accrued liability for restructuring and other charges is included in other accrued expenses and current liabilities in the condensed consolidated balance sheets. The changes in the accrued liability for restructuring and other charges for the three-month period ended September 30, 2026 were as follows (in thousands):</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Closure/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Legal</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4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Consolidation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00" w:type="dxa"/>
            <w:vAlign w:val="bottom"/>
            <w:gridSpan w:val="3"/>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adjustments and reimbursements,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09"/>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Borrowings</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September 30,</w:t>
            </w: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92,500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 Notes,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344,052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344,515</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Notes,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564,940</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999,569</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debt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998,294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480" w:type="dxa"/>
            <w:vAlign w:val="bottom"/>
            <w:gridSpan w:val="13"/>
          </w:tcPr>
          <w:p>
            <w:pPr>
              <w:spacing w:after="0" w:line="20" w:lineRule="exact"/>
              <w:rPr>
                <w:sz w:val="1"/>
                <w:szCs w:val="1"/>
                <w:color w:val="auto"/>
              </w:rPr>
            </w:pPr>
          </w:p>
        </w:tc>
        <w:tc>
          <w:tcPr>
            <w:tcW w:w="34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Future principal payments of long-term debt by fiscal year as of September 30, 2026 are as follows (in thousands):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4"/>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(9 months remaining)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355,006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648,750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2032 and thereafter</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1,015,114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9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999,569</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Our senior secured credit facility comprises a term loan and a $725.0 million revolving credit facility which mature in July 2030. The revolving credit facility includes a $350.0 million sub-limit for letters of credit, which includes up to $300.0 million for borrowings in certain foreign currencies. Under certain circumstances and subject to certain conditions, we have the ability to increase the revolving credit facility by an amount equal to the greater of $300 million or such amount as would not cause our secured leverage ratio to exceed a specified level. Our facility permits the securitization of certain qualifying assets of up to $100 million.</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360"/>
          </w:cols>
          <w:pgMar w:left="440" w:top="106" w:right="109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Borrowings under the amended facility bore interest at SOFR plus a margin of 1.25% as of September 30, 2026 (which margin can range from 1.0% to 1.75% based on our consolidated net leverage ratio as defined in the credit facility). Letters of credit reduce the amount available to borrow under the credit facility by their face value amount. The unused portion of the facility bore a commitment fee of 0.15% as of September 30, 2026 (which fee can range from 0.10% to 0.25% based on our consolidated net leverage ratio as defined in the credit facility). Our borrowings under the credit agreement are guaranteed by certain of our U.S.-based subsidiaries and are secured by substantially all of our assets and substantially all the assets of certain of our subsidiaries. The credit facility contains various representations and warranties, affirmative, negative and financial covenants and events of default. As of September 30, 2026, there were no borrowings outstanding under the revolving credit facility, $87.6 million outstanding under the letters of credit sub-facility, and $90.0 million outstanding under the term loan. As of September 30, 2026, the amount available to borrow under the credit facility was $637.4 million. Loan amounts under the revolving credit facility may be borrowed, repaid and re-borrowed during the term. The principal amount of each loan is due and payable in full on the maturity date. We have the right to repay each loan in whole or in part from time to time without penalty. It is our practice to routinely borrow and repay several times per year under the revolving facility and therefore, borrowings under the revolving credit facility are included in current liabilities. As of September 30, 2026, we were in compliance with all financial covenants under this credit facility. In September 2022, we entered into an interest rate swap agreement in order to mitigate the interest rate risk on a portion of the interest payments expected to be made on the borrowings outstanding under the revolving credit facility and term loan. Refer to Note 1 for further information relating to the interest rate swap agreement.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2.25% Convertible Senior Notes Due 2029 (“2029 Notes”)</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In July 2024, we issued an aggregate of $350.0 million principal amount of 2.25% convertible senior notes due in August 2029 in a private offering to qualified institutional buyers pursuant to Rule 144A under the Securities Act of 1933, as amended, at an issuance price equal to 97.5% of the principal amount. The 2029 Notes were issued pursuant to and are governed by an indenture dated July 19, 2024. The proceeds from the issuance of the 2029 Notes were $340.4 million, net of the issuance discount and debt issuance costs.</w:t>
      </w:r>
    </w:p>
    <w:p>
      <w:pPr>
        <w:spacing w:after="0" w:line="18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The 2029 Notes are unsecured obligations which bear regular interest at 2.25% per annum payable semiannually in arrears on February 1 and August 1 of each year, beginning on February 1, 2025. The 2029 Notes will mature on August 1, 2029, unless repurchased, redeemed, or converted in accordance with their terms prior to such date. The 2029 Notes are convertible into a combination of cash and shares of our common stock, at an initial conversion rate of 5.2090 shares of common stock per $1,000 principal amount of 2029 Notes, which is equivalent to an initial conversion price of approximately $191.98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2029 Notes, at our option, on or after August 6, 2027 if the last reported sale price of our common stock has been at least 130% of the conversion price then in effect for at least 20 trading days at a redemption price equal to 100% of the principal amount of the 2029 Notes to be redeemed, plus accrued and unpaid interest up to the day before the redemption date. The holders may require us to repurchase the 2029 Notes upon the occurrence of certain fundamental change transactions at a redemption price equal to 100% of the principal amount of the 2029 Notes redeemed, plus accrued and unpaid interest up to the day before the redemption date.</w:t>
      </w:r>
    </w:p>
    <w:p>
      <w:pPr>
        <w:spacing w:after="0" w:line="19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Holders of the 2029 Notes may convert all or a portion of their 2029 Notes at their option prior to May 1, 2029, in multiples of $1,000 principal amounts, only under the following circumstances (i) during any calendar quarter commencing after the quarter ended on September 30, 2025 (and only during such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2029 Notes for redemption, at any time prior to the close of business on the scheduled trading day immediately preceding the redemption date, but only with respect to the notes called for redemption.</w:t>
      </w:r>
    </w:p>
    <w:p>
      <w:pPr>
        <w:spacing w:after="0" w:line="19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On or after May 1, 2029, the 2029 Notes are convertible at any time until the close of business on the second scheduled trading day immediately preceding the maturity date. Holders of the 2029 Notes who convert the 2029 Notes in connection with a make-whole fundamental change, as defined in the indenture governing the 2029 Notes, or in connection with a redemption may be entitled to an increase in the conversion rate.</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360"/>
          </w:cols>
          <w:pgMar w:left="440" w:top="106" w:right="109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We accounted for the issuance of the 2029 Notes as a single liability measured at its amortized cost, as no other embedded features require bifurcation and recognition as derivatives. The following table is a summary of the 2029 Notes as of September 30, 2026 (in thousands):</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02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09"/>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carrying amount</w:t>
            </w:r>
          </w:p>
        </w:tc>
        <w:tc>
          <w:tcPr>
            <w:tcW w:w="1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344,515</w:t>
            </w:r>
          </w:p>
        </w:tc>
      </w:tr>
      <w:tr>
        <w:trPr>
          <w:trHeight w:val="20"/>
        </w:trPr>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50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(Level 2)</w:t>
            </w:r>
          </w:p>
        </w:tc>
        <w:tc>
          <w:tcPr>
            <w:tcW w:w="2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428,330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2029 Notes were not eligible for conversion as of September 30, 2026. No sinking fund is provided for the 2029 Notes, which means that we are not required to redeem or retire them periodically. As of September 30, 2026 we were in compliance with applicable financial covenants under the indenture governing the 2029 Notes.</w:t>
      </w:r>
    </w:p>
    <w:p>
      <w:pPr>
        <w:spacing w:after="0" w:line="176"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September 30, 2026 and 2025, total interest expense for the 2029 Notes was $2.4 million, which consisted of $2.0 million of contractual interest expense and $0.4 million of amortization of debt discount and issuance costs. The unamortized debt issuance cost is amortized on the effective interest method over the life of the 2029 Notes.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0.50% Convertible Senior Notes Due 2031 (“2031 Notes”)</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In November 2025, we issued an aggregate of $575.0 million principal amount of 0.50% convertible senior notes due in February 2031 in a private offering to qualified institutional buyers pursuant to Rule 144A under the Securities Act at an issuance price equal to 98% of the principal amount. The 2031 Notes were issued pursuant to and are governed by an indenture dated November 20, 2025. The proceeds from the issuance of the 2031 Notes were approximately $563.0 million, net of the issuance discount and debt issuance costs.</w:t>
      </w:r>
    </w:p>
    <w:p>
      <w:pPr>
        <w:spacing w:after="0" w:line="183"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The 2031 Notes are unsecured obligations which bear regular interest at 0.50% per annum payable semiannually in arrears on February 1 and August 1 of each year, beginning on August 1, 2026. The 2031 Notes will mature on February 1, 2031, unless repurchased, redeemed, or converted in accordance with their terms prior to such date. The 2031 Notes are convertible into a combination of cash and shares of our common stock, at an initial conversion rate of 2.8263 shares of common stock per $1,000 principal amount of 2031 Notes, which is equivalent to an initial conversion price of approximately $353.82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2031 Notes, at our option, on or after February 6, 2029 if the last reported sale price of our common stock has been at least 130% of the conversion price then in effect for at least 20 trading days at a redemption price equal to 100% of the principal amount of the 2031 Notes to be redeemed, plus accrued and unpaid interest up to the day before the redemption date. The holders of the 2031 Notes may require us to repurchase the 2031 Notes upon the occurrence of certain fundamental change transactions at a redemption price equal to 100% of the principal amount of the 2031 Notes redeemed, plus accrued and unpaid interest up to the day before the redemption date.</w:t>
      </w:r>
    </w:p>
    <w:p>
      <w:pPr>
        <w:spacing w:after="0" w:line="187"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Holders of the 2031 Notes may, at their option, convert all or a portion of their 2031 Notes prior to November 1, 2030, in multiples of $1,000 principal amounts, only (i) during any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the 2031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of the 2031 Notes for redemption, at any time prior to the close of business on the scheduled trading day immediately preceding the redemption date, but only with respect to the 2031 Notes called for redemption.</w:t>
      </w:r>
    </w:p>
    <w:p>
      <w:pPr>
        <w:spacing w:after="0" w:line="14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On or after November 1, 2030, the 2031 Notes will be convertible by the holders thereof at any time until the close of business on the second scheduled trading day immediately preceding the maturity date. Holders of the 2031 Notes who convert the 2031 Notes in connection with a make-whole fundamental change, as defined in the indenture governing the 2031 Notes, or in connection with a redemption may be entitled to an increase in the conversion rate.</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360"/>
          </w:cols>
          <w:pgMar w:left="440" w:top="106" w:right="109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We accounted for the issuance of the 2031 Notes as a single liability measured at its amortized cost, as no other embedded features require bifurcation and recognition as derivatives. The following table is a summary of the 2031 Notes as of September 30, 2026 (in thousands):</w:t>
      </w:r>
    </w:p>
    <w:p>
      <w:pPr>
        <w:spacing w:after="0" w:line="156"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20" w:type="dxa"/>
            <w:vAlign w:val="bottom"/>
            <w:tcBorders>
              <w:bottom w:val="single" w:sz="8" w:color="CCEEFF"/>
            </w:tcBorders>
          </w:tcPr>
          <w:p>
            <w:pPr>
              <w:ind w:left="67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w:t>
            </w: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564,940</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(Level 2)</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503,142</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2031 Notes were not eligible for conversion as of September 30, 2026. No sinking fund is provided for the 2031 Notes, which means that we are not required to redeem or retire them periodically. As of September 30, 2026 we were in compliance with applicable financial covenants under the indenture governing the 2031 Notes.</w:t>
      </w:r>
    </w:p>
    <w:p>
      <w:pPr>
        <w:spacing w:after="0" w:line="14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total interest expense for the 2031 Notes was $1.3 million, which consisted of $0.7 million of contractual interest expense and $0.6 million of amortization of debt discount and issuance costs. The unamortized debt issuance cost is amortized on the effective interest method over the life of the 2031 Notes.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Borrowings</w:t>
      </w:r>
    </w:p>
    <w:p>
      <w:pPr>
        <w:spacing w:after="0" w:line="229" w:lineRule="exact"/>
        <w:rPr>
          <w:sz w:val="20"/>
          <w:szCs w:val="20"/>
          <w:color w:val="auto"/>
        </w:rPr>
      </w:pPr>
    </w:p>
    <w:p>
      <w:pPr>
        <w:ind w:left="640" w:right="240"/>
        <w:spacing w:after="0" w:line="266" w:lineRule="auto"/>
        <w:rPr>
          <w:sz w:val="20"/>
          <w:szCs w:val="20"/>
          <w:color w:val="auto"/>
        </w:rPr>
      </w:pPr>
      <w:r>
        <w:rPr>
          <w:rFonts w:ascii="Times New Roman" w:cs="Times New Roman" w:eastAsia="Times New Roman" w:hAnsi="Times New Roman"/>
          <w:sz w:val="18"/>
          <w:szCs w:val="18"/>
          <w:color w:val="auto"/>
        </w:rPr>
        <w:t>Several of our foreign subsidiaries maintain bank lines-of-credit, denominated in local currencies and U.S. dollars, primarily for the issuance of letters-of-credit. As of September 30, 2026, $61.8 million was outstanding under these letter-of-credit facilities. As of September 30, 2026, the total amount available under these credit facilities was $58.4 million.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As of September 30, 2026, we maintained the Amended and Restated 2012 Incentive Award Plan (the “OSI Plan”) as a stock-based employee compensation plan.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recorded stock-based compensation expense in the consolidated statements of operations as follows (in thousands):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7460" w:type="dxa"/>
            <w:vAlign w:val="bottom"/>
            <w:vMerge w:val="restart"/>
          </w:tcPr>
          <w:p>
            <w:pPr>
              <w:ind w:left="7300"/>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5"/>
        </w:trPr>
        <w:tc>
          <w:tcPr>
            <w:tcW w:w="74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As of September 30, 2026, total unrecognized compensation cost related to stock-based compensation grants under the OSI Plan was estimated at $0.8 million for stock options and $18.1 million for restricted stock units (“RSUs”). We expect to recognize these costs over a weighted-average period of 1.7 years with respect to the stock options and 2.4 years for grants of RSUs.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360"/>
          </w:cols>
          <w:pgMar w:left="440" w:top="106" w:right="109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summarizes stock option activity during the three months ended September 30, 2026:</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14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5"/>
                <w:szCs w:val="15"/>
                <w:color w:val="auto"/>
              </w:rPr>
            </w:pPr>
          </w:p>
        </w:tc>
        <w:tc>
          <w:tcPr>
            <w:tcW w:w="14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320" w:type="dxa"/>
            <w:vAlign w:val="bottom"/>
          </w:tcPr>
          <w:p>
            <w:pPr>
              <w:ind w:left="3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Term</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2026</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 or forfeited</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7.2 years</w:t>
            </w:r>
          </w:p>
        </w:tc>
        <w:tc>
          <w:tcPr>
            <w:tcW w:w="380" w:type="dxa"/>
            <w:vAlign w:val="bottom"/>
            <w:tcBorders>
              <w:top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25,838</w:t>
            </w:r>
          </w:p>
        </w:tc>
        <w:tc>
          <w:tcPr>
            <w:tcW w:w="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107.42</w:t>
            </w:r>
          </w:p>
        </w:tc>
        <w:tc>
          <w:tcPr>
            <w:tcW w:w="220" w:type="dxa"/>
            <w:vAlign w:val="bottom"/>
          </w:tcPr>
          <w:p>
            <w:pPr>
              <w:spacing w:after="0"/>
              <w:rPr>
                <w:sz w:val="17"/>
                <w:szCs w:val="17"/>
                <w:color w:val="auto"/>
              </w:rPr>
            </w:pPr>
          </w:p>
        </w:tc>
        <w:tc>
          <w:tcPr>
            <w:tcW w:w="1440" w:type="dxa"/>
            <w:vAlign w:val="bottom"/>
            <w:tcBorders>
              <w:bottom w:val="single" w:sz="8" w:color="auto"/>
            </w:tcBorders>
            <w:gridSpan w:val="2"/>
          </w:tcPr>
          <w:p>
            <w:pPr>
              <w:ind w:left="740"/>
              <w:spacing w:after="0" w:line="196" w:lineRule="exact"/>
              <w:rPr>
                <w:sz w:val="20"/>
                <w:szCs w:val="20"/>
                <w:color w:val="auto"/>
              </w:rPr>
            </w:pPr>
            <w:r>
              <w:rPr>
                <w:rFonts w:ascii="Times New Roman" w:cs="Times New Roman" w:eastAsia="Times New Roman" w:hAnsi="Times New Roman"/>
                <w:sz w:val="18"/>
                <w:szCs w:val="18"/>
                <w:color w:val="auto"/>
              </w:rPr>
              <w:t>6.2 years</w:t>
            </w:r>
          </w:p>
        </w:tc>
        <w:tc>
          <w:tcPr>
            <w:tcW w:w="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summarizes RSU award activity during the three months ended September 30, 2026:</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2026</w:t>
            </w:r>
          </w:p>
        </w:tc>
        <w:tc>
          <w:tcPr>
            <w:tcW w:w="1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241,735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130,112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(184,360)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(11,389)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2026</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As of September 30, 2026, there were approximately 1.4 million shares available for grant under the OSI Plan. Under the terms of the OSI Plan, RSUs and restricted stock granted from the pool of shares available for grant reduce the pool by 1.87 shares for each award granted. RSUs and restricted stock forfeited and returned to the pool of shares available for grant increase the pool by 1.87 shares for each award forfeited.</w:t>
      </w:r>
    </w:p>
    <w:p>
      <w:pPr>
        <w:spacing w:after="0" w:line="18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We granted 48,185 and 34,962 performance-based awards during the three months ended September 30, 2025 and 2026, respectively. These performance-based RSU awards are contingent on the achievement of certain performance metrics. The payout related to these awards can range from zero to 280% of the original number of shares or units awarded. Compensation costs associated with these performance-based RSUs are recognized based on the estimated number of shares that we ultimately expect will vest. If the estimated number of shares to vest is revised in the future, then stock-based compensation expense will be adjusted accordingly.</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In August 2026, our Board of Directors approved an additional one million shares for repurchase under our stock repurchase program. This program does not expire unless our Board of Directors acts to terminate the program. The timing and actual numbers of shares to be purchased under this program depend on a variety of factors, including stock price, general business and market conditions and other investment opportunities. Repurchases may be made from time to time under the program through open-market purchases or privately-negotiated transactions at our discretion. Upon repurchase, the shares are restored to the status of authorized but unissued shares, and we record them in our consolidated financial statements as a reduction in the number of shares of common stock issued and outstanding.</w:t>
      </w:r>
    </w:p>
    <w:p>
      <w:pPr>
        <w:spacing w:after="0" w:line="18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we repurchased 305,559 shares of common stock under our current program. As of September 30, 2026, there were 773,172 shares remaining available for repurchase under the authorized repurchase program.</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We have not paid any dividends since the consummation of our initial public offering in 1997 and we do not currently intend to pay any dividends in the foreseeable future. Our Board of Directors will determine the payment of future dividends, if any. Certain of our current bank credit facilities restrict the payment of dividends and future borrowings may contain similar restrictions.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360"/>
          </w:cols>
          <w:pgMar w:left="440" w:top="106" w:right="109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Acquisition-Related Contingent Obligations</w:t>
      </w:r>
    </w:p>
    <w:p>
      <w:pPr>
        <w:spacing w:after="0" w:line="22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Under the terms and conditions of the purchase agreements associated with certain acquisitions, we may be obligated to make additional payments based on the achievement of certain sales or profitability milestones through the acquired operations. For agreements that contain contingent consideration caps, the remaining maximum amount of such potential future payments was $50.9 million as of September 30, 2026.</w:t>
      </w:r>
    </w:p>
    <w:p>
      <w:pPr>
        <w:spacing w:after="0" w:line="180"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These projections and probabilities are used to estimate future contingent earnout payments, which are discounted back to present value to compute contingent earnout liabilities. The following table provides a roll-forward from June 30, 2026 to September 30, 2026 of the contingent consideration liability, which is included in other accrued expenses and current liabilities, and other long-term liabilities in our consolidated balance sheets (in thousands):</w:t>
      </w:r>
    </w:p>
    <w:p>
      <w:pPr>
        <w:sectPr>
          <w:pgSz w:w="11900" w:h="16838" w:orient="portrait"/>
          <w:cols w:equalWidth="0" w:num="1">
            <w:col w:w="10360"/>
          </w:cols>
          <w:pgMar w:left="440" w:top="106" w:right="1099" w:bottom="1440" w:gutter="0" w:footer="0" w:header="0"/>
        </w:sectPr>
      </w:pP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Beginning fair value, June 30, 2026</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Changes in fair value for contingent earnout obligations</w:t>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Payments on contingent earnout obligations</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Ending fair value, September 30, 2026</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w:t>
            </w:r>
          </w:p>
        </w:tc>
      </w:tr>
    </w:tbl>
    <w:p>
      <w:pPr>
        <w:jc w:val="right"/>
        <w:ind w:right="1020"/>
        <w:spacing w:after="0"/>
        <w:rPr>
          <w:sz w:val="20"/>
          <w:szCs w:val="20"/>
          <w:color w:val="auto"/>
        </w:rPr>
      </w:pPr>
      <w:r>
        <w:rPr>
          <w:rFonts w:ascii="Times New Roman" w:cs="Times New Roman" w:eastAsia="Times New Roman" w:hAnsi="Times New Roman"/>
          <w:sz w:val="18"/>
          <w:szCs w:val="18"/>
          <w:color w:val="auto"/>
        </w:rPr>
        <w:t>8</w:t>
      </w:r>
    </w:p>
    <w:p>
      <w:pPr>
        <w:spacing w:after="0" w:line="7"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(1,390)</w:t>
      </w:r>
    </w:p>
    <w:p>
      <w:pPr>
        <w:spacing w:after="0" w:line="9"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(774)</w:t>
      </w:r>
    </w:p>
    <w:p>
      <w:pPr>
        <w:spacing w:after="0" w:line="9" w:lineRule="exact"/>
        <w:rPr>
          <w:sz w:val="20"/>
          <w:szCs w:val="20"/>
          <w:color w:val="auto"/>
        </w:rPr>
      </w:pPr>
    </w:p>
    <w:p>
      <w:pPr>
        <w:ind w:left="520" w:hanging="393"/>
        <w:spacing w:after="0"/>
        <w:tabs>
          <w:tab w:leader="none" w:pos="520" w:val="left"/>
        </w:tabs>
        <w:numPr>
          <w:ilvl w:val="0"/>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15,956</w:t>
      </w:r>
    </w:p>
    <w:p>
      <w:pPr>
        <w:spacing w:after="0" w:line="665" w:lineRule="exact"/>
        <w:rPr>
          <w:sz w:val="20"/>
          <w:szCs w:val="20"/>
          <w:color w:val="auto"/>
        </w:rPr>
      </w:pPr>
    </w:p>
    <w:p>
      <w:pPr>
        <w:sectPr>
          <w:pgSz w:w="11900" w:h="16838" w:orient="portrait"/>
          <w:cols w:equalWidth="0" w:num="2">
            <w:col w:w="7600" w:space="720"/>
            <w:col w:w="2040"/>
          </w:cols>
          <w:pgMar w:left="440" w:top="106" w:right="1099" w:bottom="1440" w:gutter="0" w:footer="0" w:header="0"/>
          <w:type w:val="continuous"/>
        </w:sectPr>
      </w:pPr>
    </w:p>
    <w:p>
      <w:pPr>
        <w:spacing w:after="0" w:line="27"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We are periodically required to provide performance bonds to do business with certain customers. These arrangements are common in the industry and generally have terms ranging between one year and ten years. The bonds are provided by various bonding agencies. However, we are ultimately liable for claims that may occur against them. As of June 30, 2026 and September 30, 2026, we had a maximum financial exposure related to performance bonds of approximately $102 million and $103 million, respectively. As described in Note 8, we and several of our foreign subsidiaries have issued letters of credit under the revolving credit facility and international bank facilities. These letters of credit are issued to protect various customers, suppliers and government agencies under contractual arrangements and regulatory requirements. We have no history of significant claims and there are no pending matters that would require us to perform under any of these arrangements, and we believe that the resolution of any claims that might arise in the future, either individually or in the aggregate, would not materially affect the consolidated financial statements. Accordingly, no liability for any of these arrangements has been recorded as of June 30, 2026 and September 30, 2026.</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Environmental Contingencies</w:t>
      </w:r>
    </w:p>
    <w:p>
      <w:pPr>
        <w:spacing w:after="0" w:line="227"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We are subject to various environmental laws. We conduct environmental investigations at our manufacturing facilities in North America, Asia-Pacific, and Europe, and, to the extent practicable, on all new properties to identify, as of the date of such investigation, potential areas of environmental concern related to past and present activities or from nearby operations. In certain cases, we have conducted further environmental assessments consisting of soil and groundwater testing and other investigations deemed appropriate by independent environmental consultants.</w:t>
      </w:r>
    </w:p>
    <w:p>
      <w:pPr>
        <w:spacing w:after="0" w:line="183"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At present, we are not considered a responsible party to any environmental release or contamination, nor are we responsible for any environmental remediation at sites we occupy currently or have occupied in the past. We have not accrued for loss contingencies relating to environmental matters because we believe that, although unfavorable outcomes are possible, they are not considered by our management to be probable and reasonably estimable. If one or more of these environmental matters are resolved in a manner adverse to us, the impact on our business, financial condition, results of operations and cash flow could be material.</w:t>
      </w:r>
    </w:p>
    <w:p>
      <w:pPr>
        <w:sectPr>
          <w:pgSz w:w="11900" w:h="16838" w:orient="portrait"/>
          <w:cols w:equalWidth="0" w:num="1">
            <w:col w:w="1036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360"/>
          </w:cols>
          <w:pgMar w:left="440" w:top="106" w:right="109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certain parties with respect to certain matters. We have agreed to hold certain parties harmless against losses arising from a breach of representations, warranties or covenants, or intellectual property infringement or other claims made by third parties. These agreements may limit the time within which an indemnification claim can be made and the amount of the claim. In addition, we have entered into indemnification agreements with our directors and certain of our officers. It is not possible to determine the maximum potential amount under these indemnification agreements due to the limited history of prior indemnification claims and the unique facts and circumstances involved in each particular agreement. We have not recorded any liability for costs related to contingent indemnification obligations as of September 30, 2026.</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We are involved in various potential or actual claims and legal proceedings arising in the ordinary course of business. In our opinion after consultation with legal counsel, the ultimate disposition of such proceedings is not likely to have a material adverse effect on our business, financial condition, results of operations or cash flows. We have not accrued for loss contingencies relating to any non-ordinary course matters because we believe that, although unfavorable outcomes in the proceedings are possible, they are not considered by management to be probable and reasonably estimable. If one or more of these matters are resolved in a manner adverse to our company, the impact on our business, financial condition, results of operations and cash flows could be material.</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The determination of the annual effective tax rate is based upon a number of significant estimates and judgments, including the estimated annual pretax income in each tax jurisdiction in which we operate and the development of tax planning strategies during the year. In addition, as a global commercial enterprise, our tax expense can be impacted by changes in tax rates or laws, the finalization of tax audits and reviews and other factors that cannot be predicted with certainty. As such, there can be significant volatility in interim tax provisions.</w:t>
      </w:r>
    </w:p>
    <w:p>
      <w:pPr>
        <w:spacing w:after="0" w:line="183"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months ended September 30, 2025 and 2026 were 19.9% and 18.8%, respectively. During the three months ended September 30, 2025 and 2026, we recognized a net discrete tax benefit of $0.9 million and $1.2 million, respectively, related to equity-based compensation under ASU 2016-09 and uncertain tax positions.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We operate in three identifiable industry segments: (a) security and inspection systems (Security division), (b) optoelectronic devices and manufacturing (Optoelectronics and Manufacturing division) and (c) medical monitoring systems (Healthcare division). Factors used to identify our reportable segments primarily reflect our organizational and management structure around differences in products and industry markets. The reconciliation of segment totals to consolidated totals includes intersegment eliminations and certain unallocated corporate items that include executive compensation and certain other general and administrative expenses; expenses related to stock issuances, legal, audit and other professional service fees, depreciation and amortization, and corporate assets. Both the Security and Healthcare divisions comprise primarily end-product businesses whereas the Optoelectronics and Manufacturing division primarily supplies components and subsystems to external OEM customers, as well as to the Security and Healthcare divisions. Sales between divisions are at transfer prices that approximate market values. All other accounting policies of the segments are the same as described in Note 1, Summary of Significant Accounting Policies. We disclose segment income (loss) from operations as our measure of segment profit/loss, reconciled to consolidated income (loss) from operations. The measure of segment income (loss) from operations excludes restructuring and other charges presented below which are presented to reconcile to consolidated income from operations. Segment assets represent total current and noncurrent assets for each reportable segment. Business segment disclosures consider information used by/provided to our chief operating decision maker (“CODM”). Our Chief Executive Officer serves as the CODM. The CODM uses segment assets and segment income (loss) from operations, as well as the expenses within each segment including cost of sales, selling, general and administrative expenses and research and development expenses, to allocate resources to segments in the budgeting and forecasting process along with periodic ongoing reviews of results and overall activity in the markets where each segment operates.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360"/>
          </w:cols>
          <w:pgMar w:left="440" w:top="106" w:right="109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results of operations and identifiable assets by our three industry segments, along with amounts for intersegment eliminations and unallocated corporate items, which are reconciled to consolidated amounts (in thousands):</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Optoelectronics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10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Eliminations</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External customer revenue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254,248</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384,623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384,623</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254,248</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109,461</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404,452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384,623</w:t>
            </w: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261,438</w:t>
            </w:r>
          </w:p>
        </w:tc>
        <w:tc>
          <w:tcPr>
            <w:tcW w:w="0" w:type="dxa"/>
            <w:vAlign w:val="bottom"/>
          </w:tcPr>
          <w:p>
            <w:pPr>
              <w:spacing w:after="0"/>
              <w:rPr>
                <w:sz w:val="1"/>
                <w:szCs w:val="1"/>
                <w:color w:val="auto"/>
              </w:rPr>
            </w:pPr>
          </w:p>
        </w:tc>
      </w:tr>
      <w:tr>
        <w:trPr>
          <w:trHeight w:val="198"/>
        </w:trPr>
        <w:tc>
          <w:tcPr>
            <w:tcW w:w="27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66,955</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0" w:type="dxa"/>
            <w:vAlign w:val="bottom"/>
          </w:tcPr>
          <w:p>
            <w:pPr>
              <w:spacing w:after="0"/>
              <w:rPr>
                <w:sz w:val="1"/>
                <w:szCs w:val="1"/>
                <w:color w:val="auto"/>
              </w:rPr>
            </w:pPr>
          </w:p>
        </w:tc>
      </w:tr>
      <w:tr>
        <w:trPr>
          <w:trHeight w:val="249"/>
        </w:trPr>
        <w:tc>
          <w:tcPr>
            <w:tcW w:w="2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30,966</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45,897</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0" w:type="dxa"/>
            <w:vAlign w:val="bottom"/>
          </w:tcPr>
          <w:p>
            <w:pPr>
              <w:spacing w:after="0"/>
              <w:rPr>
                <w:sz w:val="1"/>
                <w:szCs w:val="1"/>
                <w:color w:val="auto"/>
              </w:rPr>
            </w:pPr>
          </w:p>
        </w:tc>
      </w:tr>
      <w:tr>
        <w:trPr>
          <w:trHeight w:val="197"/>
        </w:trPr>
        <w:tc>
          <w:tcPr>
            <w:tcW w:w="2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assets (2) (3)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1,637,446</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270,883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2,199,160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(50,159)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150,155</w:t>
            </w:r>
          </w:p>
        </w:tc>
        <w:tc>
          <w:tcPr>
            <w:tcW w:w="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2,299,156</w:t>
            </w:r>
          </w:p>
        </w:tc>
        <w:tc>
          <w:tcPr>
            <w:tcW w:w="0" w:type="dxa"/>
            <w:vAlign w:val="bottom"/>
          </w:tcPr>
          <w:p>
            <w:pPr>
              <w:spacing w:after="0"/>
              <w:rPr>
                <w:sz w:val="1"/>
                <w:szCs w:val="1"/>
                <w:color w:val="auto"/>
              </w:rPr>
            </w:pPr>
          </w:p>
        </w:tc>
      </w:tr>
      <w:tr>
        <w:trPr>
          <w:trHeight w:val="197"/>
        </w:trPr>
        <w:tc>
          <w:tcPr>
            <w:tcW w:w="272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1,207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6,364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7,028</w:t>
            </w:r>
          </w:p>
        </w:tc>
        <w:tc>
          <w:tcPr>
            <w:tcW w:w="0" w:type="dxa"/>
            <w:vAlign w:val="bottom"/>
          </w:tcPr>
          <w:p>
            <w:pPr>
              <w:spacing w:after="0"/>
              <w:rPr>
                <w:sz w:val="1"/>
                <w:szCs w:val="1"/>
                <w:color w:val="auto"/>
              </w:rPr>
            </w:pPr>
          </w:p>
        </w:tc>
      </w:tr>
      <w:tr>
        <w:trPr>
          <w:trHeight w:val="20"/>
        </w:trPr>
        <w:tc>
          <w:tcPr>
            <w:tcW w:w="27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6,927</w:t>
            </w: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1,681</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1,167</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9,775</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485</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10,260</w:t>
            </w:r>
          </w:p>
        </w:tc>
        <w:tc>
          <w:tcPr>
            <w:tcW w:w="0" w:type="dxa"/>
            <w:vAlign w:val="bottom"/>
          </w:tcPr>
          <w:p>
            <w:pPr>
              <w:spacing w:after="0"/>
              <w:rPr>
                <w:sz w:val="1"/>
                <w:szCs w:val="1"/>
                <w:color w:val="auto"/>
              </w:rPr>
            </w:pPr>
          </w:p>
        </w:tc>
      </w:tr>
      <w:tr>
        <w:trPr>
          <w:trHeight w:val="197"/>
        </w:trPr>
        <w:tc>
          <w:tcPr>
            <w:tcW w:w="2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Reconciliation to consolidated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operations – Three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Months Ended September 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Consolidated segment income from</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Consolidated income from</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0" w:type="dxa"/>
            <w:vAlign w:val="bottom"/>
          </w:tcPr>
          <w:p>
            <w:pPr>
              <w:spacing w:after="0"/>
              <w:rPr>
                <w:sz w:val="1"/>
                <w:szCs w:val="1"/>
                <w:color w:val="auto"/>
              </w:rPr>
            </w:pPr>
          </w:p>
        </w:tc>
      </w:tr>
      <w:tr>
        <w:trPr>
          <w:trHeight w:val="221"/>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360"/>
          </w:cols>
          <w:pgMar w:left="440" w:top="106" w:right="109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Optoelectronics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40" w:type="dxa"/>
            <w:vAlign w:val="bottom"/>
          </w:tcPr>
          <w:p>
            <w:pPr>
              <w:spacing w:after="0"/>
              <w:rPr>
                <w:sz w:val="15"/>
                <w:szCs w:val="15"/>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Healthcare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10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32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Eliminations</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External customer revenue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264,126</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35,128</w:t>
            </w: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403,472</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403,472</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264,126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119,725</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418,979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403,472</w:t>
            </w:r>
          </w:p>
        </w:tc>
        <w:tc>
          <w:tcPr>
            <w:tcW w:w="0" w:type="dxa"/>
            <w:vAlign w:val="bottom"/>
          </w:tcPr>
          <w:p>
            <w:pPr>
              <w:spacing w:after="0"/>
              <w:rPr>
                <w:sz w:val="1"/>
                <w:szCs w:val="1"/>
                <w:color w:val="auto"/>
              </w:rPr>
            </w:pPr>
          </w:p>
        </w:tc>
      </w:tr>
      <w:tr>
        <w:trPr>
          <w:trHeight w:val="209"/>
        </w:trPr>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279,671</w:t>
            </w:r>
          </w:p>
        </w:tc>
        <w:tc>
          <w:tcPr>
            <w:tcW w:w="0" w:type="dxa"/>
            <w:vAlign w:val="bottom"/>
          </w:tcPr>
          <w:p>
            <w:pPr>
              <w:spacing w:after="0"/>
              <w:rPr>
                <w:sz w:val="1"/>
                <w:szCs w:val="1"/>
                <w:color w:val="auto"/>
              </w:rPr>
            </w:pPr>
          </w:p>
        </w:tc>
      </w:tr>
      <w:tr>
        <w:trPr>
          <w:trHeight w:val="198"/>
        </w:trPr>
        <w:tc>
          <w:tcPr>
            <w:tcW w:w="27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68,709</w:t>
            </w:r>
          </w:p>
        </w:tc>
        <w:tc>
          <w:tcPr>
            <w:tcW w:w="0" w:type="dxa"/>
            <w:vAlign w:val="bottom"/>
          </w:tcPr>
          <w:p>
            <w:pPr>
              <w:spacing w:after="0"/>
              <w:rPr>
                <w:sz w:val="1"/>
                <w:szCs w:val="1"/>
                <w:color w:val="auto"/>
              </w:rPr>
            </w:pPr>
          </w:p>
        </w:tc>
      </w:tr>
      <w:tr>
        <w:trPr>
          <w:trHeight w:val="198"/>
        </w:trPr>
        <w:tc>
          <w:tcPr>
            <w:tcW w:w="27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44,471</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gridSpan w:val="2"/>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Segment assets (2) (3)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1,583,904</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289,971</w:t>
            </w:r>
          </w:p>
        </w:tc>
        <w:tc>
          <w:tcPr>
            <w:tcW w:w="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2,206,617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(43,472)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326,297</w:t>
            </w:r>
          </w:p>
        </w:tc>
        <w:tc>
          <w:tcPr>
            <w:tcW w:w="40" w:type="dxa"/>
            <w:vAlign w:val="bottom"/>
          </w:tcPr>
          <w:p>
            <w:pPr>
              <w:spacing w:after="0"/>
              <w:rPr>
                <w:sz w:val="22"/>
                <w:szCs w:val="2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2,489,442</w:t>
            </w:r>
          </w:p>
        </w:tc>
        <w:tc>
          <w:tcPr>
            <w:tcW w:w="0" w:type="dxa"/>
            <w:vAlign w:val="bottom"/>
          </w:tcPr>
          <w:p>
            <w:pPr>
              <w:spacing w:after="0"/>
              <w:rPr>
                <w:sz w:val="1"/>
                <w:szCs w:val="1"/>
                <w:color w:val="auto"/>
              </w:rPr>
            </w:pPr>
          </w:p>
        </w:tc>
      </w:tr>
      <w:tr>
        <w:trPr>
          <w:trHeight w:val="197"/>
        </w:trPr>
        <w:tc>
          <w:tcPr>
            <w:tcW w:w="274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7,296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7,655</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5,831</w:t>
            </w: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1,709</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8,563</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476</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9,039</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Reconciliation to consolidated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from operations – Three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Months Ended 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Consolidated segment income from</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178"/>
        </w:trPr>
        <w:tc>
          <w:tcPr>
            <w:tcW w:w="2740" w:type="dxa"/>
            <w:vAlign w:val="bottom"/>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Consolidated income from</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0" w:type="dxa"/>
            <w:vAlign w:val="bottom"/>
          </w:tcPr>
          <w:p>
            <w:pPr>
              <w:spacing w:after="0"/>
              <w:rPr>
                <w:sz w:val="1"/>
                <w:szCs w:val="1"/>
                <w:color w:val="auto"/>
              </w:rPr>
            </w:pPr>
          </w:p>
        </w:tc>
      </w:tr>
      <w:tr>
        <w:trPr>
          <w:trHeight w:val="221"/>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Segment assets as of June 30, 2026,</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740" w:type="dxa"/>
            <w:vAlign w:val="bottom"/>
            <w:gridSpan w:val="2"/>
            <w:vMerge w:val="continue"/>
          </w:tcPr>
          <w:p>
            <w:pPr>
              <w:spacing w:after="0"/>
              <w:rPr>
                <w:sz w:val="24"/>
                <w:szCs w:val="24"/>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1,581,183</w:t>
            </w:r>
          </w:p>
        </w:tc>
        <w:tc>
          <w:tcPr>
            <w:tcW w:w="3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308,765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288,163</w:t>
            </w:r>
          </w:p>
        </w:tc>
        <w:tc>
          <w:tcPr>
            <w:tcW w:w="40" w:type="dxa"/>
            <w:vAlign w:val="bottom"/>
          </w:tcPr>
          <w:p>
            <w:pPr>
              <w:spacing w:after="0"/>
              <w:rPr>
                <w:sz w:val="24"/>
                <w:szCs w:val="24"/>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2,178,111</w:t>
            </w:r>
          </w:p>
        </w:tc>
        <w:tc>
          <w:tcPr>
            <w:tcW w:w="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(47,496)</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371,837</w:t>
            </w:r>
          </w:p>
        </w:tc>
        <w:tc>
          <w:tcPr>
            <w:tcW w:w="40" w:type="dxa"/>
            <w:vAlign w:val="bottom"/>
          </w:tcPr>
          <w:p>
            <w:pPr>
              <w:spacing w:after="0"/>
              <w:rPr>
                <w:sz w:val="24"/>
                <w:szCs w:val="24"/>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2,502,452</w:t>
            </w:r>
          </w:p>
        </w:tc>
        <w:tc>
          <w:tcPr>
            <w:tcW w:w="0" w:type="dxa"/>
            <w:vAlign w:val="bottom"/>
          </w:tcPr>
          <w:p>
            <w:pPr>
              <w:spacing w:after="0"/>
              <w:rPr>
                <w:sz w:val="1"/>
                <w:szCs w:val="1"/>
                <w:color w:val="auto"/>
              </w:rPr>
            </w:pPr>
          </w:p>
        </w:tc>
      </w:tr>
      <w:tr>
        <w:trPr>
          <w:trHeight w:val="221"/>
        </w:trPr>
        <w:tc>
          <w:tcPr>
            <w:tcW w:w="2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 comparative purposes (2) (3)</w:t>
            </w:r>
          </w:p>
        </w:tc>
        <w:tc>
          <w:tcPr>
            <w:tcW w:w="24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960" w:right="540" w:hanging="316"/>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2025 and 2026, no customer accounted for 10% or more of our consolidated net revenues.</w:t>
      </w:r>
    </w:p>
    <w:p>
      <w:pPr>
        <w:spacing w:after="0" w:line="167" w:lineRule="exact"/>
        <w:rPr>
          <w:rFonts w:ascii="Times New Roman" w:cs="Times New Roman" w:eastAsia="Times New Roman" w:hAnsi="Times New Roman"/>
          <w:sz w:val="18"/>
          <w:szCs w:val="18"/>
          <w:color w:val="auto"/>
        </w:rPr>
      </w:pPr>
    </w:p>
    <w:p>
      <w:pPr>
        <w:ind w:left="960" w:hanging="316"/>
        <w:spacing w:after="0" w:line="282" w:lineRule="auto"/>
        <w:tabs>
          <w:tab w:leader="none" w:pos="9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2026 and September 30, 2026, one customer in the Security division accounted for 25% of accounts receivable, net.</w:t>
      </w:r>
    </w:p>
    <w:p>
      <w:pPr>
        <w:spacing w:after="0" w:line="161" w:lineRule="exact"/>
        <w:rPr>
          <w:rFonts w:ascii="Times New Roman" w:cs="Times New Roman" w:eastAsia="Times New Roman" w:hAnsi="Times New Roman"/>
          <w:sz w:val="18"/>
          <w:szCs w:val="18"/>
          <w:color w:val="auto"/>
        </w:rPr>
      </w:pPr>
    </w:p>
    <w:p>
      <w:pPr>
        <w:jc w:val="both"/>
        <w:ind w:left="960" w:hanging="316"/>
        <w:spacing w:after="0" w:line="266" w:lineRule="auto"/>
        <w:tabs>
          <w:tab w:leader="none" w:pos="9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in assets reflect the amount of inter-segment profits in inventory and inter-segment ROU assets under ASC 842 as of the balance sheet date. Such inter-segment profit will be realized when inventory is shipped to the external customers of the Security and Healthcare divisions.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360"/>
          </w:cols>
          <w:pgMar w:left="440" w:top="106" w:right="109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In this report, “OSI”, the “Company”, “we”, “us”, “our” and similar terms refer to OSI Systems, Inc. together with our wholly-owned subsidiaries.</w:t>
      </w:r>
    </w:p>
    <w:p>
      <w:pPr>
        <w:spacing w:after="0" w:line="162"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as of September 30, 2026 and results of operations for the three months ended September 30, 2026 should be read in conjunction with management’s discussion and analysis of financial condition and results of operations included in our Annual Report on Form 10-K for the fiscal year ended June 30, 2026 filed with the SEC.</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Private Securities Litigation Reform Act of 1995, Section 27A of the Securities Act of 1933, as amended, and Section 21E of the Securities Exchange Act of 1934, as amended (the “Exchange Act”). Forward-looking statements relate to our current expectations, beliefs, and projections concerning matters that are not historical facts. Words such as “project,” “believe,” “anticipate,” “plan,” “expect,” “intend,” “may,” “should,” “will,” “would,” and similar words and expressions are intended to identify forward-looking statements. Forward-looking statements are not guarantees of future performance and involve uncertainties, risks, assumptions and contingencies, many of which are outside our control. Assumptions upon which our forward-looking statements are based could prove to be inaccurate, and actual results may differ materially from those expressed in or implied by such forward-looking statements. Important factors that could cause our actual results to differ materially from our expectations are disclosed in this report, our Annual Report on Form 10-K for the fiscal year ended June 30, 2026 (including Part I, Item 1, “Business,” Part I, Item 1A, “Risk Factors” and Part II, Item 7, “Management’s Discussion and Analysis of Financial Condition and Results of Operations”) and other documents filed by us from time to time with the Securities and Exchange Commission (“SEC”). Such factors, of course, do not include all factors that might affect our business and financial condition. We could be exposed to a variety of negative consequences as a result of delays related to the award of domestic and international contracts; failure to secure the renewal of key customer contracts; delays in customer programs; government shutdowns and other lapses in, or delays of government appropriations; delays in revenue recognition related to the timing of customer acceptance; the impact of potential information technology, cybersecurity or data security breaches; changes in domestic and foreign government spending and budgetary, procurement and trade policies adverse to our businesses; the impact of the Russia-Ukraine conflict or conflicts in the Middle East, including the potential for broad economic disruption, increased global tensions, or potential disruptions to customer operations, procurement activities, transportation networks and project timing; global economic uncertainty, including the impact of tariffs; material delays and cancellations of orders or deliveries thereon, supply chain and transportation networks disruptions, plant closures, or other adverse impacts on our ability to execute business plans; unfavorable currency exchange rate fluctuations; unfavorable interest rate fluctuations; the effect of changes in tax legislation; market acceptance of our new and existing technologies, products and services; our ability to win new business and convert any orders received to sales within the current fiscal year; the timing of collection of receivables from significant customers; contract and regulatory compliance matters, or actions, which if brought, could result in judgments, settlements, fines, injunctions, debarment or penalties; and other risks and uncertainties, including but not limited to those factors described in our other SEC filings. All forward-looking statements contained in this report are qualified in their entirety by this section.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Investors should not place undue reliance on forward-looking statements as a prediction of actual results. We undertake no obligation to update any forward-looking statement that becomes untrue because of subsequent events, new information, or otherwise, except to the extent required to do so under federal securities laws.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We are a vertically integrated designer and manufacturer of specialized electronic systems and components for critical applications. We sell our products and provide related services in diversified markets, including homeland security, healthcare, defense and aerospace. We have three operating divisions, each of which is a reportable segment: (a) Security, providing security and inspection systems, high-power RF systems and turnkey security screening solutions; (b) Optoelectronics and Manufacturing, providing specialized electronic components and electronic manufacturing services for applications in the defense and aerospace markets, among others, and for our Security and Healthcare divisions; and (c) Healthcare, providing patient monitoring, cardiology and remote monitoring, and connected care systems and associated accessories.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360"/>
          </w:cols>
          <w:pgMar w:left="440" w:top="106" w:right="109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i w:val="1"/>
          <w:iCs w:val="1"/>
          <w:color w:val="auto"/>
        </w:rPr>
        <w:t>Security Division</w:t>
      </w:r>
      <w:r>
        <w:rPr>
          <w:rFonts w:ascii="Times New Roman" w:cs="Times New Roman" w:eastAsia="Times New Roman" w:hAnsi="Times New Roman"/>
          <w:sz w:val="18"/>
          <w:szCs w:val="18"/>
          <w:color w:val="auto"/>
        </w:rPr>
        <w:t>. Through our Security division, we provide security screening products, multi-platform software solutions,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globally, as well as turnkey security screening solutions. These products and services are used to inspect baggage, parcels, cargo, people, vehicles and other objects for weapons, explosives, drugs, radioactive and nuclear materials and other contraband. We also provide high-power RF systems for transmission, surveillance and other applications for defense, research and industrial use. Revenues from our Security division accounted for 66% and 65% of our total consolidated revenues for the three months ended September 30, 2025 and 2026, respectively.</w:t>
      </w:r>
    </w:p>
    <w:p>
      <w:pPr>
        <w:spacing w:after="0" w:line="182"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i w:val="1"/>
          <w:iCs w:val="1"/>
          <w:color w:val="auto"/>
        </w:rPr>
        <w:t>Optoelectronics and Manufacturing Division</w:t>
      </w:r>
      <w:r>
        <w:rPr>
          <w:rFonts w:ascii="Times New Roman" w:cs="Times New Roman" w:eastAsia="Times New Roman" w:hAnsi="Times New Roman"/>
          <w:sz w:val="18"/>
          <w:szCs w:val="18"/>
          <w:color w:val="auto"/>
        </w:rPr>
        <w:t>. Through our Optoelectronics and Manufacturing division, we design, manufacture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We also provide our optoelectronic devices and electronics manufacturing services to OEM customers, and our own Security and Healthcare divisions. Revenues from external customers in our Optoelectronics and Manufacturing division accounted for 23% and 26% of our total consolidated revenues for the three months ended September 30, 2025 and 2026, respectively.</w:t>
      </w:r>
    </w:p>
    <w:p>
      <w:pPr>
        <w:spacing w:after="0" w:line="183"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i w:val="1"/>
          <w:iCs w:val="1"/>
          <w:color w:val="auto"/>
        </w:rPr>
        <w:t>Healthcare Division</w:t>
      </w:r>
      <w:r>
        <w:rPr>
          <w:rFonts w:ascii="Times New Roman" w:cs="Times New Roman" w:eastAsia="Times New Roman" w:hAnsi="Times New Roman"/>
          <w:sz w:val="18"/>
          <w:szCs w:val="18"/>
          <w:color w:val="auto"/>
        </w:rPr>
        <w:t>. Through our Healthcare division, we design, manufacture, market and service patient monitoring, cardiology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remote monitoring, and connected care systems globally for sale primarily to hospitals and medical centers. Our products monitor patients in critical, emergency and perioperative care areas of the hospital and provide information, through wired and wireless networks, to physicians and nurses who may be at the patient’s bedside, in another area of the hospital or even outside the hospital. Revenues from our Healthcare division accounted for 11% and 9% of our total consolidated revenues for the three months ended September 30, 2025 and 2026, respectively.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certain trends and uncertainties that we believe have influenced, and may continue to influence, our results of operations.</w:t>
      </w:r>
    </w:p>
    <w:p>
      <w:pPr>
        <w:spacing w:after="0" w:line="158"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Economic Considerations. </w:t>
      </w:r>
      <w:r>
        <w:rPr>
          <w:rFonts w:ascii="Times New Roman" w:cs="Times New Roman" w:eastAsia="Times New Roman" w:hAnsi="Times New Roman"/>
          <w:sz w:val="18"/>
          <w:szCs w:val="18"/>
          <w:color w:val="auto"/>
        </w:rPr>
        <w:t>Our products and services are sold in numerous countries worldwide, with a large percentage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sales generated outside the United States. Therefore, we are exposed to and impacted by global macroeconomic factors, U.S. and foreign government policies and foreign exchange fluctuations. There is uncertainty surrounding macroeconomic factors in the U.S. and globally characterized by the supply chain environment, inflationary pressure, interest rate policies, and labor shortages. Increasing diplomatic and trade friction between the U.S. and China has also created significant uncertainty in the global economy. These global macroeconomic factors, coupled with political unrest internationally and the volatile U.S. political climate, have created uncertainty and impacted demand for certain of our products and services. In addition, the military conflicts in the Middle East and the continued conflict between Russia and Ukraine, each as discussed further below, together with the sanctions, export controls and other measures imposed in response to these conflicts have increased global economic and political uncertainty. While the impact of these factors remains uncertain, we will continue to evaluate the extent to which these factors will impact our business, financial condition or results of operations. We do not know how long this uncertainty will continue. These factors could have a material adverse effect on our business, results of operations and financial condition.</w:t>
      </w:r>
    </w:p>
    <w:p>
      <w:pPr>
        <w:spacing w:after="0" w:line="14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Trade. </w:t>
      </w:r>
      <w:r>
        <w:rPr>
          <w:rFonts w:ascii="Times New Roman" w:cs="Times New Roman" w:eastAsia="Times New Roman" w:hAnsi="Times New Roman"/>
          <w:sz w:val="18"/>
          <w:szCs w:val="18"/>
          <w:color w:val="auto"/>
        </w:rPr>
        <w:t>The current domestic and international political environment, including in relation to recent and further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by the U.S. and other countries in policies on global trade and tariffs, has resulted in uncertainty surrounding the future state of the global economy and global trade. This uncertainty is exacerbated by sanctions imposed by the U.S. government against certain businesses and individuals in select other countries. Tariffs, trade restrictions and retaliatory measures by such other countries could result in reductions in our revenues or cost increases on materials used in our products, which could materially and adversely affect our business, financial condition, results of operations and cash flows. Consistent with our strategy, we are taking measures to contain costs to reduce the impact of tariffs. To date, our strategies have mitigated, but not eliminated, our exposure to these conditions. We continue to monitor changes in trade policies and evaluate additional actions to manage potential effects on product costs, supply availability and customer demand. Continued or increased uncertainty regarding global trade due to these or other factors may require us to modify our current business practices and could have a material adverse effect on our business, results of operations and financial condition.</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360"/>
          </w:cols>
          <w:pgMar w:left="440" w:top="106" w:right="109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Demand for Memory and Semiconductor Components. </w:t>
      </w:r>
      <w:r>
        <w:rPr>
          <w:rFonts w:ascii="Times New Roman" w:cs="Times New Roman" w:eastAsia="Times New Roman" w:hAnsi="Times New Roman"/>
          <w:sz w:val="18"/>
          <w:szCs w:val="18"/>
          <w:color w:val="auto"/>
        </w:rPr>
        <w:t>We have experienced tighter supply conditions and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for certain memory and other semiconductor components, reflecting a broader global imbalance between supply and demand for memory used in data center and AI-related infrastructure. While we have taken actions to mitigate these impacts, including qualifying alternative sources, purchasing certain components in advance of demand and seeking price adjustments from customers, we may not be able to fully offset these cost increases, and continued constraints in component availability could delay our ability to fulfill customer orders and adversely affect our gross margins, business and results of operations.</w:t>
      </w:r>
    </w:p>
    <w:p>
      <w:pPr>
        <w:spacing w:after="0" w:line="142"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Geopolitical Environment. </w:t>
      </w:r>
      <w:r>
        <w:rPr>
          <w:rFonts w:ascii="Times New Roman" w:cs="Times New Roman" w:eastAsia="Times New Roman" w:hAnsi="Times New Roman"/>
          <w:sz w:val="18"/>
          <w:szCs w:val="18"/>
          <w:color w:val="auto"/>
        </w:rPr>
        <w:t>The global security environment remains subject to significant uncertainty due to ongoing geopolitical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tensions, military conflicts, terrorist threats, and regional instability, including the ongoing military conflict in the Middle East. Governments, transportation authorities, border protection agencies, and critical infrastructure operators continue to assess evolving security risks and may increase investments in security screening, inspection, and detection technologies. As a result, demand for certain of our security inspection products and related services could be affected by changes in government spending priorities and security requirements. At the same time, geopolitical events may influence the timing and execution of customer procurement decisions, funding approvals, contract awards, and project implementations. The extent to which current or future conflicts may affect our business will depend on the duration, geographic scope, and economic consequences of such events, as well as governmental responses that remain difficult to predict.</w:t>
      </w:r>
    </w:p>
    <w:p>
      <w:pPr>
        <w:spacing w:after="0" w:line="188"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Conflicts in the Middle East. </w:t>
      </w:r>
      <w:r>
        <w:rPr>
          <w:rFonts w:ascii="Times New Roman" w:cs="Times New Roman" w:eastAsia="Times New Roman" w:hAnsi="Times New Roman"/>
          <w:sz w:val="18"/>
          <w:szCs w:val="18"/>
          <w:color w:val="auto"/>
        </w:rPr>
        <w:t>We generate a significant portion of our revenues from international markets and maintain a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supply chain supporting the design, manufacture, and servicing of our products. Escalation of geopolitical conflicts, including the military conflict involving the United States, Israel and Iran, which escalated significantly in February 2026 and included the closure of strategic airspaces and critical maritime routes such as the Strait of Hormuz and the Red Sea, have disrupted transportation routes, logistics networks, airspace, supplier operations, and international trade flows. These disruptions have resulted, and may continue to result, in shipment delays, longer lead times, project schedule delays, inventory management challenges, or higher operating costs. The conflicts in the Middle East continued to adversely affect certain customer projects during the first quarter of fiscal 2027, resulting in delays in shipments, installations, customer acceptance procedures, project schedules and the timing of certain orders, which negatively impacted our revenues and operating results for the period. Certain customers in the region have also reprioritized near-term spending and procurement activities. To date, these delays have not resulted in the cancellation of orders, and the related orders remain in our backlog with revised delivery schedules; however, there can be no assurance that further delays or cancellations will not occur. Continuation or further escalation of the conflict, including any expansion of hostilities to additional countries in which we or our customers operate, a prolonged disruption of shipping through the Strait of Hormuz or the imposition of additional sanctions or export controls, could adversely affect our ability to procure components, fulfill customer orders, deploy personnel, or complete installations in a timely manner and could have a material adverse effect on our business, results of operations and financial condition.</w:t>
      </w:r>
    </w:p>
    <w:p>
      <w:pPr>
        <w:spacing w:after="0" w:line="183"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Russia-Ukraine Conflict. </w:t>
      </w:r>
      <w:r>
        <w:rPr>
          <w:rFonts w:ascii="Times New Roman" w:cs="Times New Roman" w:eastAsia="Times New Roman" w:hAnsi="Times New Roman"/>
          <w:sz w:val="18"/>
          <w:szCs w:val="18"/>
          <w:color w:val="auto"/>
        </w:rPr>
        <w:t>The ongoing conflict between Ukraine and Russia and the sanctions and export controls imposed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to this conflict have increased global economic and political uncertainty. This has the potential to indirectly disrupt our supply chain and access to certain resources. While we have not experienced significant adverse impacts to date resulting from this conflict, we have certain research and development activities within Ukraine for our Healthcare division which have experienced limited disruption. This conflict and the conflict in the Middle East also have increased the threat of malicious cyber-activity from other countries and other actors.</w:t>
      </w:r>
    </w:p>
    <w:p>
      <w:pPr>
        <w:spacing w:after="0" w:line="155"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Currency Exchange Rates. </w:t>
      </w:r>
      <w:r>
        <w:rPr>
          <w:rFonts w:ascii="Times New Roman" w:cs="Times New Roman" w:eastAsia="Times New Roman" w:hAnsi="Times New Roman"/>
          <w:sz w:val="18"/>
          <w:szCs w:val="18"/>
          <w:color w:val="auto"/>
        </w:rPr>
        <w:t>On a year-over-year basis, currency exchange rates positively impacted reported sales by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0.04% for the three months ended September 30, 2026 compared to the three months ended September 30, 2025, primarily due to the weakening of the U.S. dollar against certain other foreign currencies compared to the prior year period. Any strengthening of the U.S. dollar against foreign currencies would adversely impact our sales in future periods, and any weakening of the U.S. dollar against foreign currencies would positively impact our sales in future periods.</w:t>
      </w:r>
    </w:p>
    <w:p>
      <w:pPr>
        <w:spacing w:after="0" w:line="139"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Considerations. </w:t>
      </w:r>
      <w:r>
        <w:rPr>
          <w:rFonts w:ascii="Times New Roman" w:cs="Times New Roman" w:eastAsia="Times New Roman" w:hAnsi="Times New Roman"/>
          <w:sz w:val="18"/>
          <w:szCs w:val="18"/>
          <w:color w:val="auto"/>
        </w:rPr>
        <w:t>Certain hospitals and healthcare systems continue to face financial pressures arising from labor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inflation, reimbursement challenges and elevated interest rates. To the extent these conditions persist, healthcare providers may defer or reduce capital equipment purchases, which could adversely affect demand for our Healthcare products.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360"/>
          </w:cols>
          <w:pgMar w:left="440" w:top="106" w:right="109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Government Policies. </w:t>
      </w:r>
      <w:r>
        <w:rPr>
          <w:rFonts w:ascii="Times New Roman" w:cs="Times New Roman" w:eastAsia="Times New Roman" w:hAnsi="Times New Roman"/>
          <w:sz w:val="18"/>
          <w:szCs w:val="18"/>
          <w:color w:val="auto"/>
        </w:rPr>
        <w:t>Our results of operations and cash flows could be materially affected by changes in U.S. or foreign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legislative, regulatory or enforcement policies, as well as potential or actual U.S. government shutdowns, including the impact on near-term bookings and revenues of the most recent Department of Homeland Security shutdown. U.S. government operations are currently funded under a continuing resolution that expires on December 11, 2026. A further lapse in appropriations, or an extended period of funding under continuing resolutions, could delay U.S. government procurements, contract awards, deliveries and payments and adversely affect our results of operations.</w:t>
      </w:r>
    </w:p>
    <w:p>
      <w:pPr>
        <w:spacing w:after="0" w:line="142"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September 30, 2025 (Q1 Fiscal 2026) Compared to the Three Months Ended September 30, 2026 (Q1 Fiscal 2027) (amounts in millions)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The table below and the discussion that follows are based upon the way in which we analyze our business. See Note 12 to the condensed consolidated financial statements for additional information about our business segments.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Q1</w:t>
            </w:r>
          </w:p>
        </w:tc>
        <w:tc>
          <w:tcPr>
            <w:tcW w:w="108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5"/>
                <w:szCs w:val="15"/>
                <w:color w:val="auto"/>
              </w:rPr>
            </w:pPr>
          </w:p>
        </w:tc>
        <w:tc>
          <w:tcPr>
            <w:tcW w:w="5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Pr>
          <w:p>
            <w:pPr>
              <w:spacing w:after="0"/>
              <w:rPr>
                <w:sz w:val="15"/>
                <w:szCs w:val="15"/>
                <w:color w:val="auto"/>
              </w:rPr>
            </w:pPr>
          </w:p>
        </w:tc>
        <w:tc>
          <w:tcPr>
            <w:tcW w:w="114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 of</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3220" w:type="dxa"/>
            <w:vAlign w:val="bottom"/>
          </w:tcPr>
          <w:p>
            <w:pPr>
              <w:spacing w:after="0"/>
              <w:rPr>
                <w:sz w:val="15"/>
                <w:szCs w:val="15"/>
                <w:color w:val="auto"/>
              </w:rPr>
            </w:pPr>
          </w:p>
        </w:tc>
        <w:tc>
          <w:tcPr>
            <w:tcW w:w="17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 Fiscal 2026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Revenues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2027</w:t>
            </w:r>
          </w:p>
        </w:tc>
        <w:tc>
          <w:tcPr>
            <w:tcW w:w="130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​​​Net Revenues ​​​</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Optoelectronics and Manufacturing</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revenues</w:t>
            </w:r>
          </w:p>
        </w:tc>
        <w:tc>
          <w:tcPr>
            <w:tcW w:w="7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Revenues for the Security division during Q1 fiscal 2027 increased year-over-year due to increases in product and service revenues of approximately $3.6 million and $6.2 million, respectively. The increase in product revenues was primarily due to increases in RF system and checkpoint screening revenues, partially offset by lower cargo and vehicle inspection revenues. The increase in service revenues was primarily attributable to growth in the installed base of products and airport screening services.</w:t>
      </w:r>
    </w:p>
    <w:p>
      <w:pPr>
        <w:spacing w:after="0" w:line="180"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Revenues for the Optoelectronics and Manufacturing division during Q1 fiscal 2027 increased year-over-year due to increases in product revenues of approximately $5.5 million in our optoelectronics business and $9.2 million in our contract manufacturing business.</w:t>
      </w:r>
    </w:p>
    <w:p>
      <w:pPr>
        <w:spacing w:after="0" w:line="176"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Revenues for the Healthcare division during Q1 fiscal 2027 decreased year-over-year primarily due to lower patient monitoring revenues, principally in the U.S., reflecting the timing of customer orders.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Pr>
          <w:p>
            <w:pPr>
              <w:spacing w:after="0"/>
              <w:rPr>
                <w:sz w:val="15"/>
                <w:szCs w:val="15"/>
                <w:color w:val="auto"/>
              </w:rPr>
            </w:pPr>
          </w:p>
        </w:tc>
        <w:tc>
          <w:tcPr>
            <w:tcW w:w="124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Pr>
          <w:p>
            <w:pPr>
              <w:spacing w:after="0"/>
              <w:rPr>
                <w:sz w:val="15"/>
                <w:szCs w:val="15"/>
                <w:color w:val="auto"/>
              </w:rPr>
            </w:pPr>
          </w:p>
        </w:tc>
        <w:tc>
          <w:tcPr>
            <w:tcW w:w="9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73"/>
        </w:trPr>
        <w:tc>
          <w:tcPr>
            <w:tcW w:w="3280" w:type="dxa"/>
            <w:vAlign w:val="bottom"/>
          </w:tcPr>
          <w:p>
            <w:pPr>
              <w:spacing w:after="0"/>
              <w:rPr>
                <w:sz w:val="15"/>
                <w:szCs w:val="15"/>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Fiscal 2026</w:t>
            </w: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Fiscal 2027</w:t>
            </w:r>
          </w:p>
        </w:tc>
        <w:tc>
          <w:tcPr>
            <w:tcW w:w="11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p>
        </w:tc>
      </w:tr>
      <w:tr>
        <w:trPr>
          <w:trHeight w:val="210"/>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8"/>
                <w:szCs w:val="18"/>
                <w:u w:val="single" w:color="auto"/>
                <w:color w:val="auto"/>
              </w:rPr>
              <w:t>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Gross profit is impacted by sales volume and changes in overall manufacturing-related costs, such as raw materials and component costs, warranty expense, provision for inventory, freight, tariffs, and logistics. Gross profit for Q1 fiscal 2027 increased to $123.8 million from $123.2 million in the prior-year period. The increase was primarily attributable to higher gross profit in our Security and Optoelectronics and Manufacturing divisions, partially offset by lower gross profit in our Healthcare division. Gross profit as a percentage of net revenues decreased to 30.7% from 32.0% in the prior-year period, reflecting lower Healthcare revenues, which generally carry relatively higher gross margins; unfavorable changes in revenue mix within the Security division; and higher Optoelectronics and Manufacturing revenues, which generally carry relatively lower gross margins.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Q1</w:t>
            </w:r>
          </w:p>
        </w:tc>
        <w:tc>
          <w:tcPr>
            <w:tcW w:w="142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   % of</w:t>
            </w:r>
          </w:p>
        </w:tc>
        <w:tc>
          <w:tcPr>
            <w:tcW w:w="5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Pr>
          <w:p>
            <w:pPr>
              <w:spacing w:after="0"/>
              <w:rPr>
                <w:sz w:val="15"/>
                <w:szCs w:val="15"/>
                <w:color w:val="auto"/>
              </w:rPr>
            </w:pPr>
          </w:p>
        </w:tc>
        <w:tc>
          <w:tcPr>
            <w:tcW w:w="114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 of</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Fiscal 2026</w:t>
            </w: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Fiscal 2027</w:t>
            </w:r>
          </w:p>
        </w:tc>
        <w:tc>
          <w:tcPr>
            <w:tcW w:w="130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r>
              <w:rPr>
                <w:rFonts w:ascii="Times New Roman" w:cs="Times New Roman" w:eastAsia="Times New Roman" w:hAnsi="Times New Roman"/>
                <w:sz w:val="14"/>
                <w:szCs w:val="14"/>
                <w:color w:val="auto"/>
              </w:rPr>
              <w:t xml:space="preserve"> ​​​</w:t>
            </w: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9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09"/>
        </w:trPr>
        <w:tc>
          <w:tcPr>
            <w:tcW w:w="320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Restructuring and other charges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0"/>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u w:val="single" w:color="auto"/>
                <w:color w:val="auto"/>
              </w:rPr>
              <w:t>1</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u w:val="single" w:color="auto"/>
                <w:color w:val="auto"/>
              </w:rPr>
              <w:t>2</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360"/>
          </w:cols>
          <w:pgMar w:left="440" w:top="106" w:right="109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significant selling, general and administrative (“SG&amp;A”) expenses include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sales commissions, travel, professional services, marketing expenses, and depreciation and amortization expense. SG&amp;A expense for Q1 fiscal 2027 increased $1.7 million compared to the same prior-year period, primarily due to higher salaries and benefits, occupancy costs, and certain technology, marketing, and outside-services costs. These increases were partially offset by lower acquired-intangible amortization, bad-debt expense, external commissions, and travel expense.</w:t>
      </w:r>
    </w:p>
    <w:p>
      <w:pPr>
        <w:spacing w:after="0" w:line="179"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(“R&amp;D”) expenses include research related to new product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enhancement expenditures. R&amp;D expenses for Q1 fiscal 2027 decreased $1.0 million compared to the same prior-year period largely due to lower outside services costs, partially offset by higher compensation and certain technology and research-related expenditures.</w:t>
      </w:r>
    </w:p>
    <w:p>
      <w:pPr>
        <w:spacing w:after="0" w:line="176"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Restructuring and other charges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Restructuring and other charges generally consist of charges relating to reductions in our workforce,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facilities consolidation, costs related to acquisition activity, legal charges and other non-recurring charges. During Q1 fiscal 2027, restructuring and other charges were $2.1 million, which consisted of $0.2 million for acquisition-related costs, $0.5 million for employee terminations, $0.1 million for facility closures, $0.3 million in legal charges, and $1.0 million for non-recurring charges in the Security and Healthcare divisions. During Q1 fiscal 2026, restructuring and other charges were $2.7 million, which consisted of $2.4 million primarily for non-recurring charges in the Security and Healthcare divisions and $0.3 million for employee terminations.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Interest and Other Expense (Benefit), Net</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5"/>
                <w:szCs w:val="15"/>
                <w:color w:val="auto"/>
              </w:rPr>
            </w:pPr>
          </w:p>
        </w:tc>
        <w:tc>
          <w:tcPr>
            <w:tcW w:w="124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 of</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5"/>
                <w:szCs w:val="15"/>
                <w:color w:val="auto"/>
              </w:rPr>
            </w:pPr>
          </w:p>
        </w:tc>
        <w:tc>
          <w:tcPr>
            <w:tcW w:w="9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73"/>
        </w:trPr>
        <w:tc>
          <w:tcPr>
            <w:tcW w:w="4600" w:type="dxa"/>
            <w:vAlign w:val="bottom"/>
          </w:tcPr>
          <w:p>
            <w:pPr>
              <w:spacing w:after="0"/>
              <w:rPr>
                <w:sz w:val="15"/>
                <w:szCs w:val="15"/>
                <w:color w:val="auto"/>
              </w:rPr>
            </w:pPr>
          </w:p>
        </w:tc>
        <w:tc>
          <w:tcPr>
            <w:tcW w:w="21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9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Revenues ​​​ Fiscal 2027</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​​Net​ Revenues</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 of swap benefit</w:t>
            </w:r>
          </w:p>
        </w:tc>
        <w:tc>
          <w:tcPr>
            <w:tcW w:w="1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11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r>
      <w:tr>
        <w:trPr>
          <w:trHeight w:val="210"/>
        </w:trPr>
        <w:tc>
          <w:tcPr>
            <w:tcW w:w="4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other expense (benefit), net</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for Q1 fiscal 2027 decreased $4.1 million compared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prior-year period, primarily due to higher net investment income and lower interest expense on credit facility borrowings. These favorable impacts were partially offset by interest expense and amortization of debt issuance costs associated with the 2031 Notes issued in November 2025 and a lower benefit from the interest rate swap.</w:t>
      </w:r>
    </w:p>
    <w:p>
      <w:pPr>
        <w:spacing w:after="0" w:line="17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The effective tax rate for a particular period varies depending on a number of factors including (i) the mix of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in various tax jurisdictions, each of which applies a unique range of income tax rates and income tax credits, (ii) changes in previously established valuation allowances for deferred tax assets (changes are based upon our current analysis of the likelihood that these deferred tax assets will be realized), (iii) the level of non-deductible expenses, (iv) certain tax elections, (v) tax holidays granted to certain of our international subsidiaries, (vi) return to provision adjustments and (vii) changes in tax legislation. For Q1 fiscal 2027 and 2026, we recognized a provision for income taxes of $5.7 million and $5.1 million, respectively. The effective tax rates for Q1 fiscal 2027 and 2026 were 18.8% and 19.9%, respectively. The decrease in the effective tax rate for Q1 fiscal 2027 primarily reflects discrete tax benefits associated with equity-based compensation recognized under ASU 2016-09 and the expiration of applicable statutes of limitations related to certain uncertain tax benefits. During Q1 fiscal 2027 and 2026, we recognized a net discrete tax benefit of $0.7 million and $0.9 million, respectively, related to equity-based compensation under ASU 2016-09. In addition, during Q1 fiscal 2027, we recognized a net discrete tax benefit of $0.5 million related to changes in uncertain tax benefits resulting from the expiration of applicable statutes of limitations.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short-term investments, cash generated from operations, existing cash borrowing arrangements and access to capital markets. Cash and cash equivalents totaled $236.3 million at September 30, 2026, compared with $359.8 million at June 30, 2026. Short-term investments were $65.7 million at September 30, 2026, compared with $0.2 million at June 30, 2026. We currently anticipate that our available cash and cash equivalents, short-term investments, credit facilities and cash flow from operations will be sufficient to meet our operational cash needs for the next 12 months and foreseeable future. In addition, we anticipate that cash generated from operations, without repatriating earnings from our non-U.S. subsidiaries, and our credit facilities will be sufficient to satisfy our obligations in the U.S.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360"/>
          </w:cols>
          <w:pgMar w:left="440" w:top="106" w:right="109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Our senior secured credit facility comprises a term loan and a $725.0 million revolving credit facility which mature in July 2030. The revolving credit facility includes a $350.0 million sub-limit for letters of credit, which includes up to $300.0 million for borrowings in certain foreign currencies. As of September 30, 2026, there were no borrowings under the revolving credit facility, $87.6 million was outstanding under the letters of credit sub-facility, and $90.0 million was outstanding under the term loan. As of September 30, 2026, the amount available to borrow under the credit facility was $637.4 million. See Note 8 to the condensed consolidated financial statements for further discussion.</w:t>
      </w:r>
    </w:p>
    <w:p>
      <w:pPr>
        <w:spacing w:after="0" w:line="18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Operating Activities. </w:t>
      </w:r>
      <w:r>
        <w:rPr>
          <w:rFonts w:ascii="Times New Roman" w:cs="Times New Roman" w:eastAsia="Times New Roman" w:hAnsi="Times New Roman"/>
          <w:sz w:val="18"/>
          <w:szCs w:val="18"/>
          <w:color w:val="auto"/>
        </w:rPr>
        <w:t>Cash flows from operating activities can fluctuate significantly from period to period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net income, adjusted for non-cash items, and working capital. Cash provided by operating activities was $37.1 million during Q1 fiscal 2027, compared to $17.1 million during the same prior-year period. The increase was primarily due to higher net income and favorable changes in working capital. Significant contributors included increased accounts payable of $21.5 million compared to $12.0 million in the prior-year period, increased advances from customers of $21.7 million compared to $11.1 million in the prior-year period, and lower cash usage from deferred revenue. These favorable changes were partially offset by inventory growth of $48.5 million, compared to $47.4 million in the prior-year period, and a lower source of cash from accounts receivable of $10.3 million compared to $17.0 million in the prior-year period. Inventory increased to support anticipated fiscal 2027 revenue growth primarily in the Security and Optoelectronics and Manufacturing divisions.</w:t>
      </w:r>
    </w:p>
    <w:p>
      <w:pPr>
        <w:spacing w:after="0" w:line="188"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was $79.1 million during Q1 fiscal 2027, compared to $10.9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same prior-year period. The increase in cash used in investing activities was primarily attributable to $65.5 million of purchases of short-term investments during the first quarter of fiscal 2027, compared to no such purchases in the prior-year period. Capital expenditures were $7.7 million during the first quarter of fiscal 2027 compared to $7.0 million in the prior-year period, while payments for intangible and other assets increased to $5.9 million from $4.4 million in the prior-year period.</w:t>
      </w:r>
    </w:p>
    <w:p>
      <w:pPr>
        <w:spacing w:after="0" w:line="183"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i w:val="1"/>
          <w:iCs w:val="1"/>
          <w:color w:val="auto"/>
        </w:rPr>
        <w:t>Cash Provided by (Used in) Financing Activities</w:t>
      </w:r>
      <w:r>
        <w:rPr>
          <w:rFonts w:ascii="Times New Roman" w:cs="Times New Roman" w:eastAsia="Times New Roman" w:hAnsi="Times New Roman"/>
          <w:sz w:val="18"/>
          <w:szCs w:val="18"/>
          <w:color w:val="auto"/>
        </w:rPr>
        <w:t>. Net cash used in financing activities was $81.5 million during Q1 fiscal 2027,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net cash provided by financing activities of $12.2 million during the same prior-year period. The change was primarily due to common stock repurchases, including applicable excise taxes, of $62.8 million during the first quarter of fiscal 2027, compared to no repurchases in the prior-year period. Additionally, during the prior-year period, we generated net proceeds from debt financing activities, consisting of $100.1 million of long-term debt borrowings offset by $129.9 million of long-term debt repayments and $74.1 million of net borrowings on bank lines of credit, whereas there were no borrowings on bank lines of credit and $2.5 million of long-term debt repayments during the first quarter of fiscal 2027. These changes were partially offset by reduced taxes paid related to the net share settlement of equity awards, which decreased to $18.4 million from $34.4 million in the prior-year period.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See Note 8 to the condensed consolidated financial statements for a detailed discussion regarding our credit facility and other borrowings.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Cash Held by Foreign Subsidiaries</w:t>
      </w:r>
    </w:p>
    <w:p>
      <w:pPr>
        <w:spacing w:after="0" w:line="22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Our cash and cash equivalents totaled $236.3 million at September 30, 2026. Of this amount, approximately 35% was held by our foreign subsidiaries and subject to repatriation tax considerations. These foreign funds were held primarily by our subsidiaries in India, the United Kingdom, Singapore, and Canada. We intend to permanently reinvest certain earnings from foreign operations, and we currently do not anticipate that we will need this cash in foreign countries to fund our U.S. operations. In the event we repatriate cash from certain foreign operations and if taxes have not previously been withheld on the related earnings, we would provide for withholding taxes at the time we change our intention with regard to the reinvestment of those earnings.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360"/>
          </w:cols>
          <w:pgMar w:left="440" w:top="106" w:right="109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the shares of common stock we purchased during the quarter ended September 30, 2026:</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230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r>
      <w:tr>
        <w:trPr>
          <w:trHeight w:val="162"/>
        </w:trPr>
        <w:tc>
          <w:tcPr>
            <w:tcW w:w="2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62"/>
        </w:trPr>
        <w:tc>
          <w:tcPr>
            <w:tcW w:w="2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w:t>
            </w:r>
          </w:p>
        </w:tc>
      </w:tr>
      <w:tr>
        <w:trPr>
          <w:trHeight w:val="162"/>
        </w:trPr>
        <w:tc>
          <w:tcPr>
            <w:tcW w:w="2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r>
      <w:tr>
        <w:trPr>
          <w:trHeight w:val="162"/>
        </w:trPr>
        <w:tc>
          <w:tcPr>
            <w:tcW w:w="2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162"/>
        </w:trPr>
        <w:tc>
          <w:tcPr>
            <w:tcW w:w="2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may</w:t>
            </w:r>
          </w:p>
        </w:tc>
      </w:tr>
      <w:tr>
        <w:trPr>
          <w:trHeight w:val="162"/>
        </w:trPr>
        <w:tc>
          <w:tcPr>
            <w:tcW w:w="2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yet be purchased</w:t>
            </w:r>
          </w:p>
        </w:tc>
      </w:tr>
      <w:tr>
        <w:trPr>
          <w:trHeight w:val="175"/>
        </w:trPr>
        <w:tc>
          <w:tcPr>
            <w:tcW w:w="24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 (or</w:t>
            </w:r>
          </w:p>
        </w:tc>
        <w:tc>
          <w:tcPr>
            <w:tcW w:w="1380" w:type="dxa"/>
            <w:vAlign w:val="bottom"/>
            <w:gridSpan w:val="3"/>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w:t>
            </w:r>
          </w:p>
        </w:tc>
      </w:tr>
      <w:tr>
        <w:trPr>
          <w:trHeight w:val="173"/>
        </w:trPr>
        <w:tc>
          <w:tcPr>
            <w:tcW w:w="2440" w:type="dxa"/>
            <w:vAlign w:val="bottom"/>
          </w:tcPr>
          <w:p>
            <w:pPr>
              <w:spacing w:after="0"/>
              <w:rPr>
                <w:sz w:val="15"/>
                <w:szCs w:val="15"/>
                <w:color w:val="auto"/>
              </w:rPr>
            </w:pPr>
          </w:p>
        </w:tc>
        <w:tc>
          <w:tcPr>
            <w:tcW w:w="230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unit)</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programs</w:t>
            </w:r>
          </w:p>
        </w:tc>
        <w:tc>
          <w:tcPr>
            <w:tcW w:w="1460" w:type="dxa"/>
            <w:vAlign w:val="bottom"/>
            <w:gridSpan w:val="2"/>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   programs (1)</w:t>
            </w: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to July 31, 2026</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78,731</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to August 31, 2026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94,997</w:t>
            </w:r>
          </w:p>
        </w:tc>
        <w:tc>
          <w:tcPr>
            <w:tcW w:w="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983,734</w:t>
            </w:r>
          </w:p>
        </w:tc>
      </w:tr>
      <w:tr>
        <w:trPr>
          <w:trHeight w:val="216"/>
        </w:trPr>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to September 30, 2026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210,562</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210,562</w:t>
            </w:r>
          </w:p>
        </w:tc>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773,172</w:t>
            </w:r>
          </w:p>
        </w:tc>
      </w:tr>
      <w:tr>
        <w:trPr>
          <w:trHeight w:val="210"/>
        </w:trPr>
        <w:tc>
          <w:tcPr>
            <w:tcW w:w="2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8"/>
        </w:trPr>
        <w:tc>
          <w:tcPr>
            <w:tcW w:w="2440" w:type="dxa"/>
            <w:vAlign w:val="bottom"/>
            <w:tcBorders>
              <w:bottom w:val="single" w:sz="8" w:color="auto"/>
            </w:tcBorders>
          </w:tcPr>
          <w:p>
            <w:pPr>
              <w:spacing w:after="0"/>
              <w:rPr>
                <w:sz w:val="5"/>
                <w:szCs w:val="5"/>
                <w:color w:val="auto"/>
              </w:rPr>
            </w:pPr>
          </w:p>
        </w:tc>
        <w:tc>
          <w:tcPr>
            <w:tcW w:w="2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r>
    </w:tbl>
    <w:p>
      <w:pPr>
        <w:spacing w:after="0" w:line="49" w:lineRule="exact"/>
        <w:rPr>
          <w:sz w:val="20"/>
          <w:szCs w:val="20"/>
          <w:color w:val="auto"/>
        </w:rPr>
      </w:pPr>
    </w:p>
    <w:p>
      <w:pPr>
        <w:jc w:val="both"/>
        <w:ind w:left="960" w:hanging="316"/>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repurchase, shares of common stock are restored to the status of authorized but unissued shares, and we record them as a reduction in the number of shares of common stock issued and outstanding in our consolidated financial statements. In August 2026, our Board of Directors approved an additional 1,000,000 shares for repurchase under our stock repurchase program. As of September 30, 2026, 773,172 shares remained available for repurchase under the program.</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year 2027, there were no material changes outside the ordinary course of business to the information regarding specified contractual obligations contained in our Annual Report on Form 10-K for the fiscal year ended June 30, 2026. See Notes 1, 6, 8 and 10 to the condensed consolidated financial statements for additional information regarding our contractual obligations.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other regulatory bodies that are adopted as of the specified effective dates. Unless otherwise discussed, management believes that the impact of recently issued standards, which are not yet effective, will not have a material impact on our Consolidated Financial Statements upon adoption. During the first quarter of fiscal year 2027, we adopted ASU 2024-04 and ASU 2025-05. These adoptions did not have a material impact on our condensed consolidated financial statements. See Note 1 for further discussion.</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360"/>
          </w:cols>
          <w:pgMar w:left="440" w:top="106" w:right="109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For a discussion of our exposure to market risk, refer to our market risk disclosures set forth in Part II, Item 7A “Quantitative and Qualitative Disclosures About Market Risk” in our Annual Report on Form 10-K for the fiscal year ended June 30, 2026. Except for purchases of short-term investments, there have been no material changes in our exposure to market risk during the three months ended September 30, 2026 from that described in the Annual Report.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As of September 30, 2026,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first quarter of fiscal 2027 that have materially affected, or are reasonably likely to materially affect, our internal control over financial reporting.</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360"/>
          </w:cols>
          <w:pgMar w:left="440" w:top="106" w:right="109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litigation and other legal proceedings and claims arising in the ordinary course of our business or otherwise. More information regarding legal proceedings in which we are involved can be found under Note 10, “Commitments and Contingencies” of the Notes to the Consolidated Financial Statements in Part I, Item 1 of this Report, which is incorporated by reference into this Item 1.</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The discussion of our business, financial condition and results of operations in this Quarterly Report on Form 10-Q for the period ended September 30, 2026 should be read together with the risk factors contained in our Annual Report on Form 10-K for the fiscal year ended June 30, 2026, filed with the SEC on August 21, 2026, which describe various risks and uncertainties that could materially affect our business, financial condition and results of operations in the future. There have been no material changes to the risk factors included in our Annual Report on Form 10-K for the fiscal year ended June 30, 2026.</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See Issuer Purchases of Equity Securities discussion under Part I, Item 2 - Management’s Discussion and Analysis of Financial Condition and Results of Operations, which is incorporated by reference into this Item 2.</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 During the first quarter of fiscal 2027, none of our directors or officers informed us of the adoption, modification or termination of a “Rule 10b5-1 trading arrangement” or “non-Rule 10b5-1 trading arrangement” as those terms are defined in Regulation S-K, Item 408.</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360"/>
          </w:cols>
          <w:pgMar w:left="440" w:top="106" w:right="109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8"/>
                <w:szCs w:val="18"/>
                <w:color w:val="auto"/>
              </w:rPr>
            </w:pPr>
          </w:p>
        </w:tc>
        <w:tc>
          <w:tcPr>
            <w:tcW w:w="8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7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4"/>
                <w:szCs w:val="14"/>
                <w:color w:val="auto"/>
              </w:rPr>
            </w:pPr>
          </w:p>
        </w:tc>
        <w:tc>
          <w:tcPr>
            <w:tcW w:w="524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c>
          <w:tcPr>
            <w:tcW w:w="3500" w:type="dxa"/>
            <w:vAlign w:val="bottom"/>
          </w:tcPr>
          <w:p>
            <w:pPr>
              <w:spacing w:after="0"/>
              <w:rPr>
                <w:sz w:val="14"/>
                <w:szCs w:val="14"/>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5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c>
          <w:tcPr>
            <w:tcW w:w="3500" w:type="dxa"/>
            <w:vAlign w:val="bottom"/>
          </w:tcPr>
          <w:p>
            <w:pPr>
              <w:spacing w:after="0"/>
              <w:rPr>
                <w:sz w:val="24"/>
                <w:szCs w:val="24"/>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5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pursuant to Section 906 of the Sarbanes-Oxley Act of 2002</w:t>
            </w:r>
          </w:p>
        </w:tc>
        <w:tc>
          <w:tcPr>
            <w:tcW w:w="3500" w:type="dxa"/>
            <w:vAlign w:val="bottom"/>
          </w:tcPr>
          <w:p>
            <w:pPr>
              <w:spacing w:after="0"/>
              <w:rPr>
                <w:sz w:val="24"/>
                <w:szCs w:val="24"/>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5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906 of the Sarbanes-Oxley Act of 2002</w:t>
            </w:r>
          </w:p>
        </w:tc>
        <w:tc>
          <w:tcPr>
            <w:tcW w:w="3520" w:type="dxa"/>
            <w:vAlign w:val="bottom"/>
            <w:gridSpan w:val="2"/>
          </w:tcPr>
          <w:p>
            <w:pPr>
              <w:spacing w:after="0"/>
              <w:rPr>
                <w:sz w:val="24"/>
                <w:szCs w:val="24"/>
                <w:color w:val="auto"/>
              </w:rPr>
            </w:pP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ind w:left="1620" w:hanging="976"/>
        <w:spacing w:after="0" w:line="282"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360"/>
          </w:cols>
          <w:pgMar w:left="440" w:top="106" w:right="109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9378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2650" cy="937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 xml:space="preserve">Pursuant to the requirements of the Securities Exchange Act of 1934, the registrant has duly caused this report to be signed on its behalf by the undersigned thereunto duly authorized, in the City of Hawthorne, State of California on the </w:t>
      </w:r>
      <w:r>
        <w:rPr>
          <w:rFonts w:ascii="Times New Roman" w:cs="Times New Roman" w:eastAsia="Times New Roman" w:hAnsi="Times New Roman"/>
          <w:sz w:val="18"/>
          <w:szCs w:val="18"/>
          <w:color w:val="auto"/>
          <w:highlight w:val="white"/>
        </w:rPr>
        <w:t>29th day of October 2026.</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OSI SYSTEMS, INC.</w:t>
      </w:r>
    </w:p>
    <w:p>
      <w:pPr>
        <w:spacing w:after="0" w:line="229"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Ajay Mehra</w:t>
            </w:r>
          </w:p>
        </w:tc>
      </w:tr>
      <w:tr>
        <w:trPr>
          <w:trHeight w:val="191"/>
        </w:trPr>
        <w:tc>
          <w:tcPr>
            <w:tcW w:w="300" w:type="dxa"/>
            <w:vAlign w:val="bottom"/>
          </w:tcPr>
          <w:p>
            <w:pPr>
              <w:spacing w:after="0"/>
              <w:rPr>
                <w:sz w:val="16"/>
                <w:szCs w:val="16"/>
                <w:color w:val="auto"/>
              </w:rPr>
            </w:pPr>
          </w:p>
        </w:tc>
        <w:tc>
          <w:tcPr>
            <w:tcW w:w="4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Ajay Mehra</w:t>
            </w:r>
          </w:p>
        </w:tc>
      </w:tr>
      <w:tr>
        <w:trPr>
          <w:trHeight w:val="216"/>
        </w:trPr>
        <w:tc>
          <w:tcPr>
            <w:tcW w:w="30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0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Edrick</w:t>
            </w:r>
          </w:p>
        </w:tc>
      </w:tr>
      <w:tr>
        <w:trPr>
          <w:trHeight w:val="191"/>
        </w:trPr>
        <w:tc>
          <w:tcPr>
            <w:tcW w:w="300" w:type="dxa"/>
            <w:vAlign w:val="bottom"/>
          </w:tcPr>
          <w:p>
            <w:pPr>
              <w:spacing w:after="0"/>
              <w:rPr>
                <w:sz w:val="16"/>
                <w:szCs w:val="16"/>
                <w:color w:val="auto"/>
              </w:rPr>
            </w:pPr>
          </w:p>
        </w:tc>
        <w:tc>
          <w:tcPr>
            <w:tcW w:w="4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Alan Edrick</w:t>
            </w:r>
          </w:p>
        </w:tc>
      </w:tr>
      <w:tr>
        <w:trPr>
          <w:trHeight w:val="216"/>
        </w:trPr>
        <w:tc>
          <w:tcPr>
            <w:tcW w:w="30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0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Cary Okawa</w:t>
            </w:r>
          </w:p>
        </w:tc>
      </w:tr>
      <w:tr>
        <w:trPr>
          <w:trHeight w:val="191"/>
        </w:trPr>
        <w:tc>
          <w:tcPr>
            <w:tcW w:w="300" w:type="dxa"/>
            <w:vAlign w:val="bottom"/>
          </w:tcPr>
          <w:p>
            <w:pPr>
              <w:spacing w:after="0"/>
              <w:rPr>
                <w:sz w:val="16"/>
                <w:szCs w:val="16"/>
                <w:color w:val="auto"/>
              </w:rPr>
            </w:pPr>
          </w:p>
        </w:tc>
        <w:tc>
          <w:tcPr>
            <w:tcW w:w="4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Cary Okawa</w:t>
            </w:r>
          </w:p>
        </w:tc>
      </w:tr>
      <w:tr>
        <w:trPr>
          <w:trHeight w:val="216"/>
        </w:trPr>
        <w:tc>
          <w:tcPr>
            <w:tcW w:w="30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30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1534795</wp:posOffset>
            </wp:positionV>
            <wp:extent cx="7200900"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0" cy="22860"/>
                    </a:xfrm>
                    <a:prstGeom prst="rect">
                      <a:avLst/>
                    </a:prstGeom>
                    <a:noFill/>
                  </pic:spPr>
                </pic:pic>
              </a:graphicData>
            </a:graphic>
          </wp:anchor>
        </w:drawing>
      </w:r>
    </w:p>
    <w:p>
      <w:pPr>
        <w:sectPr>
          <w:pgSz w:w="11900" w:h="16838" w:orient="portrait"/>
          <w:cols w:equalWidth="0" w:num="1">
            <w:col w:w="10360"/>
          </w:cols>
          <w:pgMar w:left="440" w:top="106" w:right="1099"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158750</wp:posOffset>
            </wp:positionH>
            <wp:positionV relativeFrom="page">
              <wp:posOffset>88900</wp:posOffset>
            </wp:positionV>
            <wp:extent cx="7232650" cy="92494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2650" cy="924941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Certification required by Rule 13a-14(a) or Rule 15d-14(a)</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and 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Ajay Mehra, certify that:</w:t>
      </w:r>
    </w:p>
    <w:p>
      <w:pPr>
        <w:spacing w:after="0" w:line="225" w:lineRule="exact"/>
        <w:rPr>
          <w:sz w:val="20"/>
          <w:szCs w:val="20"/>
          <w:color w:val="auto"/>
        </w:rPr>
      </w:pPr>
    </w:p>
    <w:p>
      <w:pPr>
        <w:ind w:left="320" w:hanging="316"/>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OSI Systems, Inc.;</w:t>
      </w:r>
    </w:p>
    <w:p>
      <w:pPr>
        <w:spacing w:after="0" w:line="225" w:lineRule="exact"/>
        <w:rPr>
          <w:rFonts w:ascii="Times New Roman" w:cs="Times New Roman" w:eastAsia="Times New Roman" w:hAnsi="Times New Roman"/>
          <w:sz w:val="18"/>
          <w:szCs w:val="18"/>
          <w:color w:val="auto"/>
        </w:rPr>
      </w:pPr>
    </w:p>
    <w:p>
      <w:pPr>
        <w:jc w:val="both"/>
        <w:ind w:left="320" w:hanging="316"/>
        <w:spacing w:after="0" w:line="266"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20" w:hanging="316"/>
        <w:spacing w:after="0" w:line="266"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20" w:hanging="316"/>
        <w:spacing w:after="0" w:line="266"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20" w:hanging="316"/>
        <w:spacing w:after="0" w:line="266"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firstLine="8"/>
        <w:spacing w:after="0" w:line="282" w:lineRule="auto"/>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Ajay Mehra</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Ajay Mehra</w:t>
      </w:r>
    </w:p>
    <w:p>
      <w:pPr>
        <w:spacing w:after="0" w:line="23"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2397760</wp:posOffset>
            </wp:positionV>
            <wp:extent cx="7200900"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0" cy="22860"/>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158750</wp:posOffset>
            </wp:positionH>
            <wp:positionV relativeFrom="page">
              <wp:posOffset>88900</wp:posOffset>
            </wp:positionV>
            <wp:extent cx="7232650" cy="9249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2650" cy="924941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Certification required by Rule 13a-14(a) or Rule 15d-14(a)</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and 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Edrick, certify that:</w:t>
      </w:r>
    </w:p>
    <w:p>
      <w:pPr>
        <w:spacing w:after="0" w:line="225" w:lineRule="exact"/>
        <w:rPr>
          <w:sz w:val="20"/>
          <w:szCs w:val="20"/>
          <w:color w:val="auto"/>
        </w:rPr>
      </w:pPr>
    </w:p>
    <w:p>
      <w:pPr>
        <w:ind w:left="320" w:hanging="316"/>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OSI Systems, Inc.;</w:t>
      </w:r>
    </w:p>
    <w:p>
      <w:pPr>
        <w:spacing w:after="0" w:line="225" w:lineRule="exact"/>
        <w:rPr>
          <w:rFonts w:ascii="Times New Roman" w:cs="Times New Roman" w:eastAsia="Times New Roman" w:hAnsi="Times New Roman"/>
          <w:sz w:val="18"/>
          <w:szCs w:val="18"/>
          <w:color w:val="auto"/>
        </w:rPr>
      </w:pPr>
    </w:p>
    <w:p>
      <w:pPr>
        <w:jc w:val="both"/>
        <w:ind w:left="320" w:hanging="316"/>
        <w:spacing w:after="0" w:line="266"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20" w:hanging="316"/>
        <w:spacing w:after="0" w:line="266"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20" w:hanging="316"/>
        <w:spacing w:after="0" w:line="266"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20" w:hanging="316"/>
        <w:spacing w:after="0" w:line="266"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20" w:firstLine="8"/>
        <w:spacing w:after="0" w:line="266" w:lineRule="auto"/>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firstLine="8"/>
        <w:spacing w:after="0" w:line="282" w:lineRule="auto"/>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Alan Edrick</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Alan Edrick</w:t>
      </w:r>
    </w:p>
    <w:p>
      <w:pPr>
        <w:spacing w:after="0" w:line="23"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2397760</wp:posOffset>
            </wp:positionV>
            <wp:extent cx="7200900"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0" cy="22860"/>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38" w:name="page39"/>
    <w:bookmarkEnd w:id="38"/>
    <w:p>
      <w:pPr>
        <w:ind w:left="86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158750</wp:posOffset>
            </wp:positionH>
            <wp:positionV relativeFrom="page">
              <wp:posOffset>88900</wp:posOffset>
            </wp:positionV>
            <wp:extent cx="7232650" cy="9250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2650" cy="9250045"/>
                    </a:xfrm>
                    <a:prstGeom prst="rect">
                      <a:avLst/>
                    </a:prstGeom>
                    <a:noFill/>
                  </pic:spPr>
                </pic:pic>
              </a:graphicData>
            </a:graphic>
          </wp:anchor>
        </w:drawing>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OSI Systems, Inc. (the “Company”) on Form 10-Q for the quarter ended September 30, 2026, as filed with the Securities and Exchange Commission on the date hereof (the “Report”), I, Ajay Mehra, Director,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320" w:hanging="316"/>
        <w:spacing w:after="0" w:line="282"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320" w:hanging="316"/>
        <w:spacing w:after="0" w:line="282"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Ajay Mehra</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Ajay Mehra</w:t>
      </w:r>
    </w:p>
    <w:p>
      <w:pPr>
        <w:spacing w:after="0" w:line="23"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certification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6080125</wp:posOffset>
            </wp:positionV>
            <wp:extent cx="720090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0" cy="22860"/>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39" w:name="page40"/>
    <w:bookmarkEnd w:id="39"/>
    <w:p>
      <w:pPr>
        <w:ind w:left="86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158750</wp:posOffset>
            </wp:positionH>
            <wp:positionV relativeFrom="page">
              <wp:posOffset>88900</wp:posOffset>
            </wp:positionV>
            <wp:extent cx="7232650" cy="9250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2650" cy="9250045"/>
                    </a:xfrm>
                    <a:prstGeom prst="rect">
                      <a:avLst/>
                    </a:prstGeom>
                    <a:noFill/>
                  </pic:spPr>
                </pic:pic>
              </a:graphicData>
            </a:graphic>
          </wp:anchor>
        </w:drawing>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OSI Systems, Inc. (the “Company”) on Form 10-Q for the quarter ended September 30, 2026, as filed with the Securities and Exchange Commission on the date hereof (the “Report”), I, Alan Edrick,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320" w:hanging="316"/>
        <w:spacing w:after="0" w:line="282"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320" w:hanging="316"/>
        <w:spacing w:after="0" w:line="282"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Alan Edrick</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Alan Edrick</w:t>
      </w:r>
    </w:p>
    <w:p>
      <w:pPr>
        <w:spacing w:after="0" w:line="23"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certification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9720"/>
          </w:cols>
          <w:pgMar w:left="1080" w:top="765" w:right="109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2026-10-29T17:16:33Z</dcterms:created>
  <dcterms:modified xsi:type="dcterms:W3CDTF">2026-10-29T17:16:33Z</dcterms:modified>
</cp:coreProperties>
</file>