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OSI SYSTEMS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2,076,716.82</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2,084,414.84</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2,084,414.84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2,084,414.84</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2,084,414.84</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12.6 %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OSI SYSTEMS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12525 CHADRON AVE,HAWTHORNE,CA,US,90250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2084414.84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12.6 %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454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2084414.84</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OSI SYSTEMS INC. No one other person's interest in the COMMON STOCK of OSI SYSTEMS INC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87"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2"/>
          <w:szCs w:val="22"/>
          <w:color w:val="auto"/>
        </w:rPr>
        <w:t>Name/Title: effective as of April 13, 2026, by and on behalf of</w:t>
      </w:r>
    </w:p>
    <w:p>
      <w:pPr>
        <w:jc w:val="right"/>
        <w:ind w:right="40"/>
        <w:spacing w:after="0"/>
        <w:rPr>
          <w:sz w:val="20"/>
          <w:szCs w:val="20"/>
          <w:color w:val="auto"/>
        </w:rPr>
      </w:pPr>
      <w:r>
        <w:rPr>
          <w:rFonts w:ascii="Times New Roman" w:cs="Times New Roman" w:eastAsia="Times New Roman" w:hAnsi="Times New Roman"/>
          <w:sz w:val="22"/>
          <w:szCs w:val="22"/>
          <w:color w:val="auto"/>
        </w:rPr>
        <w:t>FMR LLC and its direct and indirect 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ectPr>
          <w:pgSz w:w="11900" w:h="16887" w:orient="portrait"/>
          <w:cols w:equalWidth="0" w:num="1">
            <w:col w:w="11140"/>
          </w:cols>
          <w:pgMar w:left="360" w:top="409" w:right="399" w:bottom="0" w:gutter="0" w:footer="0" w:header="0"/>
          <w:type w:val="continuous"/>
        </w:sectPr>
      </w:pPr>
    </w:p>
    <w:bookmarkStart w:id="4" w:name="page5"/>
    <w:bookmarkEnd w:id="4"/>
    <w:p>
      <w:pPr>
        <w:ind w:left="6780"/>
        <w:spacing w:after="0"/>
        <w:rPr>
          <w:sz w:val="20"/>
          <w:szCs w:val="20"/>
          <w:color w:val="auto"/>
        </w:rPr>
      </w:pPr>
      <w:r>
        <w:rPr>
          <w:rFonts w:ascii="Times New Roman" w:cs="Times New Roman" w:eastAsia="Times New Roman" w:hAnsi="Times New Roman"/>
          <w:sz w:val="22"/>
          <w:szCs w:val="22"/>
          <w:color w:val="auto"/>
        </w:rPr>
        <w:t>effective as of April 13, 2026, by and on behalf of</w:t>
      </w:r>
    </w:p>
    <w:p>
      <w:pPr>
        <w:spacing w:after="0" w:line="1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*This power of attorney is incorporated herein by reference to Exhibit 24 to the Schedule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13G filed by FMR LLC on April 29,2026, accession number: 0000315066-26-000738.</w:t>
      </w:r>
    </w:p>
    <w:p>
      <w:pPr>
        <w:spacing w:after="0" w:line="5" w:lineRule="exact"/>
        <w:rPr>
          <w:sz w:val="20"/>
          <w:szCs w:val="20"/>
          <w:color w:val="auto"/>
        </w:rPr>
      </w:pPr>
    </w:p>
    <w:p>
      <w:pPr>
        <w:jc w:val="center"/>
        <w:ind w:right="68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200"/>
          </w:cols>
          <w:pgMar w:left="320" w:top="112" w:right="3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90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51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ITEM 3 Classification</w:t>
            </w:r>
          </w:p>
        </w:tc>
        <w:tc>
          <w:tcPr>
            <w:tcW w:w="0" w:type="dxa"/>
            <w:vAlign w:val="bottom"/>
          </w:tcPr>
          <w:p>
            <w:pPr>
              <w:spacing w:after="0"/>
              <w:rPr>
                <w:sz w:val="1"/>
                <w:szCs w:val="1"/>
                <w:color w:val="auto"/>
              </w:rPr>
            </w:pPr>
          </w:p>
        </w:tc>
      </w:tr>
      <w:tr>
        <w:trPr>
          <w:trHeight w:val="311"/>
        </w:trPr>
        <w:tc>
          <w:tcPr>
            <w:tcW w:w="900" w:type="dxa"/>
            <w:vAlign w:val="bottom"/>
          </w:tcPr>
          <w:p>
            <w:pPr>
              <w:spacing w:after="0"/>
              <w:rPr>
                <w:sz w:val="20"/>
                <w:szCs w:val="20"/>
                <w:color w:val="auto"/>
              </w:rPr>
            </w:pPr>
            <w:r>
              <w:rPr>
                <w:rFonts w:ascii="Courier New" w:cs="Courier New" w:eastAsia="Courier New" w:hAnsi="Courier New"/>
                <w:sz w:val="18"/>
                <w:szCs w:val="18"/>
                <w:color w:val="auto"/>
              </w:rPr>
              <w:t>FIAM LLC</w:t>
            </w:r>
          </w:p>
        </w:tc>
        <w:tc>
          <w:tcPr>
            <w:tcW w:w="1380" w:type="dxa"/>
            <w:vAlign w:val="bottom"/>
          </w:tcPr>
          <w:p>
            <w:pPr>
              <w:ind w:left="160"/>
              <w:spacing w:after="0"/>
              <w:rPr>
                <w:sz w:val="20"/>
                <w:szCs w:val="20"/>
                <w:color w:val="auto"/>
              </w:rPr>
            </w:pPr>
            <w:r>
              <w:rPr>
                <w:rFonts w:ascii="Courier New" w:cs="Courier New" w:eastAsia="Courier New" w:hAnsi="Courier New"/>
                <w:sz w:val="18"/>
                <w:szCs w:val="18"/>
                <w:color w:val="auto"/>
              </w:rPr>
              <w:t>IA</w:t>
            </w:r>
          </w:p>
        </w:tc>
        <w:tc>
          <w:tcPr>
            <w:tcW w:w="374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Solutions LLC  IA</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Diversifying</w:t>
            </w:r>
          </w:p>
        </w:tc>
        <w:tc>
          <w:tcPr>
            <w:tcW w:w="3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Institutional Asset Management Trust Company  BK</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r>
              <w:rPr>
                <w:rFonts w:ascii="Courier New" w:cs="Courier New" w:eastAsia="Courier New" w:hAnsi="Courier New"/>
                <w:sz w:val="18"/>
                <w:szCs w:val="18"/>
                <w:color w:val="auto"/>
              </w:rPr>
              <w:t>Fidelity</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Management &amp;</w:t>
            </w:r>
          </w:p>
        </w:tc>
        <w:tc>
          <w:tcPr>
            <w:tcW w:w="3740" w:type="dxa"/>
            <w:vAlign w:val="bottom"/>
          </w:tcPr>
          <w:p>
            <w:pPr>
              <w:ind w:left="40"/>
              <w:spacing w:after="0"/>
              <w:rPr>
                <w:sz w:val="20"/>
                <w:szCs w:val="20"/>
                <w:color w:val="auto"/>
              </w:rPr>
            </w:pPr>
            <w:r>
              <w:rPr>
                <w:rFonts w:ascii="Courier New" w:cs="Courier New" w:eastAsia="Courier New" w:hAnsi="Courier New"/>
                <w:sz w:val="18"/>
                <w:szCs w:val="18"/>
                <w:color w:val="auto"/>
              </w:rPr>
              <w:t>Research Company LLC * IA</w:t>
            </w:r>
          </w:p>
        </w:tc>
        <w:tc>
          <w:tcPr>
            <w:tcW w:w="0" w:type="dxa"/>
            <w:vAlign w:val="bottom"/>
          </w:tcPr>
          <w:p>
            <w:pPr>
              <w:spacing w:after="0"/>
              <w:rPr>
                <w:sz w:val="1"/>
                <w:szCs w:val="1"/>
                <w:color w:val="auto"/>
              </w:rPr>
            </w:pPr>
          </w:p>
        </w:tc>
      </w:tr>
    </w:tbl>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374"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344" w:lineRule="auto"/>
        <w:rPr>
          <w:sz w:val="20"/>
          <w:szCs w:val="20"/>
          <w:color w:val="auto"/>
        </w:rPr>
      </w:pPr>
      <w:r>
        <w:rPr>
          <w:rFonts w:ascii="Courier New" w:cs="Courier New" w:eastAsia="Courier New" w:hAnsi="Courier New"/>
          <w:sz w:val="16"/>
          <w:szCs w:val="16"/>
          <w:color w:val="auto"/>
        </w:rPr>
        <w:t>The undersigned persons, on May 5, 2026, agree and consent to the joint filing on their behalf of this Schedule 13G in connection with their beneficial ownership of the COMMON STOCK of OSI SYSTEMS INC at March 31, 2026.</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Abigail P. Johnson*</w:t>
      </w:r>
    </w:p>
    <w:p>
      <w:pPr>
        <w:spacing w:after="0" w:line="253" w:lineRule="exact"/>
        <w:rPr>
          <w:sz w:val="20"/>
          <w:szCs w:val="20"/>
          <w:color w:val="auto"/>
        </w:rPr>
      </w:pPr>
    </w:p>
    <w:p>
      <w:pPr>
        <w:ind w:right="2119"/>
        <w:spacing w:after="0" w:line="292" w:lineRule="auto"/>
        <w:rPr>
          <w:sz w:val="20"/>
          <w:szCs w:val="20"/>
          <w:color w:val="auto"/>
        </w:rPr>
      </w:pPr>
      <w:r>
        <w:rPr>
          <w:rFonts w:ascii="Courier New" w:cs="Courier New" w:eastAsia="Courier New" w:hAnsi="Courier New"/>
          <w:sz w:val="18"/>
          <w:szCs w:val="18"/>
          <w:color w:val="auto"/>
        </w:rPr>
        <w:t>*This power of attorney is incorporated herein by reference to Exhibit 24 to the Schedule 13G filed by FMR LLC on April 29,2026, accession number: 0000315066-26-000738.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decimal"/>
      <w:start w:val="11"/>
    </w:lvl>
  </w:abstractNum>
  <w:abstractNum w:abstractNumId="4">
    <w:nsid w:val="507ED7AB"/>
    <w:multiLevelType w:val="hybridMultilevel"/>
    <w:lvl w:ilvl="0">
      <w:lvlJc w:val="left"/>
      <w:lvlText w:val="(%1)"/>
      <w:numFmt w:val="lowerLetter"/>
      <w:start w:val="3"/>
    </w:lvl>
  </w:abstractNum>
  <w:abstractNum w:abstractNumId="5">
    <w:nsid w:val="2EB141F2"/>
    <w:multiLevelType w:val="hybridMultilevel"/>
    <w:lvl w:ilvl="0">
      <w:lvlJc w:val="left"/>
      <w:lvlText w:val="(%1)"/>
      <w:numFmt w:val="lowerRoman"/>
      <w:start w:val="2"/>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2026-05-06T10:36:29Z</dcterms:created>
  <dcterms:modified xsi:type="dcterms:W3CDTF">2026-05-06T10:36:29Z</dcterms:modified>
</cp:coreProperties>
</file>