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581660</wp:posOffset>
            </wp:positionH>
            <wp:positionV relativeFrom="page">
              <wp:posOffset>600710</wp:posOffset>
            </wp:positionV>
            <wp:extent cx="6403340" cy="795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3340" cy="795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4960"/>
        <w:spacing w:after="0"/>
        <w:rPr>
          <w:sz w:val="20"/>
          <w:szCs w:val="20"/>
          <w:color w:val="auto"/>
        </w:rPr>
      </w:pPr>
      <w:r>
        <w:rPr>
          <w:rFonts w:ascii="Arial" w:cs="Arial" w:eastAsia="Arial" w:hAnsi="Arial"/>
          <w:sz w:val="34"/>
          <w:szCs w:val="34"/>
          <w:color w:val="000034"/>
        </w:rPr>
        <w:t>Enabling a safer, smarter,</w:t>
      </w:r>
    </w:p>
    <w:p>
      <w:pPr>
        <w:spacing w:after="0" w:line="89" w:lineRule="exact"/>
        <w:rPr>
          <w:sz w:val="24"/>
          <w:szCs w:val="24"/>
          <w:color w:val="auto"/>
        </w:rPr>
      </w:pPr>
    </w:p>
    <w:p>
      <w:pPr>
        <w:ind w:left="4960"/>
        <w:spacing w:after="0"/>
        <w:rPr>
          <w:sz w:val="20"/>
          <w:szCs w:val="20"/>
          <w:color w:val="auto"/>
        </w:rPr>
      </w:pPr>
      <w:r>
        <w:rPr>
          <w:rFonts w:ascii="Arial" w:cs="Arial" w:eastAsia="Arial" w:hAnsi="Arial"/>
          <w:sz w:val="42"/>
          <w:szCs w:val="42"/>
          <w:color w:val="000034"/>
        </w:rPr>
        <w:t>connected world</w:t>
      </w:r>
    </w:p>
    <w:p>
      <w:pPr>
        <w:sectPr>
          <w:pgSz w:w="11880" w:h="15480" w:orient="portrait"/>
          <w:cols w:equalWidth="0" w:num="1">
            <w:col w:w="9000"/>
          </w:cols>
          <w:pgMar w:left="1440" w:top="1440" w:right="1440" w:bottom="286" w:gutter="0" w:footer="0" w:header="0"/>
        </w:sectPr>
      </w:pPr>
    </w:p>
    <w:bookmarkStart w:id="1" w:name="page2"/>
    <w:bookmarkEnd w:id="1"/>
    <w:p>
      <w:pPr>
        <w:spacing w:after="0"/>
        <w:rPr>
          <w:sz w:val="20"/>
          <w:szCs w:val="20"/>
          <w:color w:val="auto"/>
        </w:rPr>
      </w:pPr>
      <w:r>
        <w:rPr>
          <w:rFonts w:ascii="Arial" w:cs="Arial" w:eastAsia="Arial" w:hAnsi="Arial"/>
          <w:sz w:val="38"/>
          <w:szCs w:val="38"/>
          <w:color w:val="3E89C0"/>
        </w:rPr>
        <w:t>FISCAL 2026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281940</wp:posOffset>
            </wp:positionV>
            <wp:extent cx="6729730" cy="3240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9730" cy="3240405"/>
                    </a:xfrm>
                    <a:prstGeom prst="rect">
                      <a:avLst/>
                    </a:prstGeom>
                    <a:noFill/>
                  </pic:spPr>
                </pic:pic>
              </a:graphicData>
            </a:graphic>
          </wp:anchor>
        </w:drawing>
      </w:r>
    </w:p>
    <w:p>
      <w:pPr>
        <w:sectPr>
          <w:pgSz w:w="11880" w:h="15480" w:orient="portrait"/>
          <w:cols w:equalWidth="0" w:num="1">
            <w:col w:w="10020"/>
          </w:cols>
          <w:pgMar w:left="920" w:top="811" w:right="9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60"/>
        <w:spacing w:after="0"/>
        <w:rPr>
          <w:sz w:val="20"/>
          <w:szCs w:val="20"/>
          <w:color w:val="auto"/>
        </w:rPr>
      </w:pPr>
      <w:r>
        <w:rPr>
          <w:rFonts w:ascii="Arial" w:cs="Arial" w:eastAsia="Arial" w:hAnsi="Arial"/>
          <w:sz w:val="16"/>
          <w:szCs w:val="16"/>
          <w:color w:val="FFFFFF"/>
        </w:rPr>
        <w:t>United</w:t>
      </w:r>
    </w:p>
    <w:p>
      <w:pPr>
        <w:ind w:left="2660"/>
        <w:spacing w:after="0" w:line="189" w:lineRule="auto"/>
        <w:rPr>
          <w:sz w:val="20"/>
          <w:szCs w:val="20"/>
          <w:color w:val="auto"/>
        </w:rPr>
      </w:pPr>
      <w:r>
        <w:rPr>
          <w:rFonts w:ascii="Arial" w:cs="Arial" w:eastAsia="Arial" w:hAnsi="Arial"/>
          <w:sz w:val="12"/>
          <w:szCs w:val="12"/>
          <w:color w:val="FFFFFF"/>
        </w:rPr>
        <w:t>States</w:t>
      </w:r>
    </w:p>
    <w:p>
      <w:pPr>
        <w:jc w:val="right"/>
        <w:ind w:right="1040"/>
        <w:spacing w:after="0"/>
        <w:rPr>
          <w:sz w:val="20"/>
          <w:szCs w:val="20"/>
          <w:color w:val="auto"/>
        </w:rPr>
      </w:pPr>
      <w:r>
        <w:rPr>
          <w:rFonts w:ascii="Arial" w:cs="Arial" w:eastAsia="Arial" w:hAnsi="Arial"/>
          <w:sz w:val="36"/>
          <w:szCs w:val="36"/>
          <w:b w:val="1"/>
          <w:bCs w:val="1"/>
          <w:color w:val="FFFFFF"/>
        </w:rPr>
        <w:t>33%</w:t>
      </w:r>
    </w:p>
    <w:p>
      <w:pPr>
        <w:spacing w:after="0" w:line="200" w:lineRule="exact"/>
        <w:rPr>
          <w:sz w:val="20"/>
          <w:szCs w:val="20"/>
          <w:color w:val="auto"/>
        </w:rPr>
      </w:pPr>
    </w:p>
    <w:p>
      <w:pPr>
        <w:spacing w:after="0" w:line="231" w:lineRule="exact"/>
        <w:rPr>
          <w:sz w:val="20"/>
          <w:szCs w:val="20"/>
          <w:color w:val="auto"/>
        </w:rPr>
      </w:pPr>
    </w:p>
    <w:p>
      <w:pPr>
        <w:jc w:val="center"/>
        <w:ind w:right="1240"/>
        <w:spacing w:after="0"/>
        <w:rPr>
          <w:sz w:val="20"/>
          <w:szCs w:val="20"/>
          <w:color w:val="auto"/>
        </w:rPr>
      </w:pPr>
      <w:r>
        <w:rPr>
          <w:rFonts w:ascii="Arial" w:cs="Arial" w:eastAsia="Arial" w:hAnsi="Arial"/>
          <w:sz w:val="15"/>
          <w:szCs w:val="15"/>
          <w:color w:val="FFFFFF"/>
        </w:rPr>
        <w:t>Mexico</w:t>
      </w:r>
    </w:p>
    <w:p>
      <w:pPr>
        <w:ind w:left="1200"/>
        <w:spacing w:after="0" w:line="222" w:lineRule="auto"/>
        <w:rPr>
          <w:sz w:val="20"/>
          <w:szCs w:val="20"/>
          <w:color w:val="auto"/>
        </w:rPr>
      </w:pPr>
      <w:r>
        <w:rPr>
          <w:rFonts w:ascii="Arial" w:cs="Arial" w:eastAsia="Arial" w:hAnsi="Arial"/>
          <w:sz w:val="15"/>
          <w:szCs w:val="15"/>
          <w:color w:val="FFFFFF"/>
        </w:rPr>
        <w:t>and other</w:t>
      </w:r>
    </w:p>
    <w:p>
      <w:pPr>
        <w:ind w:left="1200"/>
        <w:spacing w:after="0" w:line="187" w:lineRule="auto"/>
        <w:rPr>
          <w:sz w:val="20"/>
          <w:szCs w:val="20"/>
          <w:color w:val="auto"/>
        </w:rPr>
      </w:pPr>
      <w:r>
        <w:rPr>
          <w:rFonts w:ascii="Arial" w:cs="Arial" w:eastAsia="Arial" w:hAnsi="Arial"/>
          <w:sz w:val="11"/>
          <w:szCs w:val="11"/>
          <w:color w:val="FFFFFF"/>
        </w:rPr>
        <w:t>Americas</w:t>
      </w:r>
    </w:p>
    <w:p>
      <w:pPr>
        <w:ind w:left="1180"/>
        <w:spacing w:after="0"/>
        <w:rPr>
          <w:sz w:val="20"/>
          <w:szCs w:val="20"/>
          <w:color w:val="auto"/>
        </w:rPr>
      </w:pPr>
      <w:r>
        <w:rPr>
          <w:rFonts w:ascii="Arial" w:cs="Arial" w:eastAsia="Arial" w:hAnsi="Arial"/>
          <w:sz w:val="36"/>
          <w:szCs w:val="36"/>
          <w:b w:val="1"/>
          <w:bCs w:val="1"/>
          <w:color w:val="FFFFFF"/>
        </w:rPr>
        <w:t>17%</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000034"/>
        </w:rPr>
        <w:t>Sales by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000034"/>
        </w:rPr>
        <w:t>Geography</w:t>
      </w:r>
    </w:p>
    <w:p>
      <w:pPr>
        <w:spacing w:after="0" w:line="173" w:lineRule="exact"/>
        <w:rPr>
          <w:sz w:val="20"/>
          <w:szCs w:val="20"/>
          <w:color w:val="auto"/>
        </w:rPr>
      </w:pPr>
    </w:p>
    <w:p>
      <w:pPr>
        <w:ind w:left="140" w:right="1980" w:hanging="110"/>
        <w:spacing w:after="0" w:line="285" w:lineRule="auto"/>
        <w:tabs>
          <w:tab w:leader="none" w:pos="140" w:val="left"/>
        </w:tabs>
        <w:numPr>
          <w:ilvl w:val="0"/>
          <w:numId w:val="1"/>
        </w:numPr>
        <w:rPr>
          <w:rFonts w:ascii="Arial" w:cs="Arial" w:eastAsia="Arial" w:hAnsi="Arial"/>
          <w:sz w:val="14"/>
          <w:szCs w:val="14"/>
          <w:color w:val="000034"/>
        </w:rPr>
      </w:pPr>
      <w:r>
        <w:rPr>
          <w:rFonts w:ascii="Arial" w:cs="Arial" w:eastAsia="Arial" w:hAnsi="Arial"/>
          <w:sz w:val="14"/>
          <w:szCs w:val="14"/>
          <w:color w:val="000034"/>
        </w:rPr>
        <w:t>External revenues are attributed to individual countries based upon the location of our selling entity.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FFFFFF"/>
        </w:rPr>
        <w:t>EMEA</w:t>
      </w:r>
    </w:p>
    <w:p>
      <w:pPr>
        <w:jc w:val="center"/>
        <w:ind w:right="1200"/>
        <w:spacing w:after="0"/>
        <w:rPr>
          <w:sz w:val="20"/>
          <w:szCs w:val="20"/>
          <w:color w:val="auto"/>
        </w:rPr>
      </w:pPr>
      <w:r>
        <w:rPr>
          <w:rFonts w:ascii="Arial" w:cs="Arial" w:eastAsia="Arial" w:hAnsi="Arial"/>
          <w:sz w:val="32"/>
          <w:szCs w:val="32"/>
          <w:b w:val="1"/>
          <w:bCs w:val="1"/>
          <w:color w:val="FFFFFF"/>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820"/>
        <w:spacing w:after="0"/>
        <w:rPr>
          <w:sz w:val="20"/>
          <w:szCs w:val="20"/>
          <w:color w:val="auto"/>
        </w:rPr>
      </w:pPr>
      <w:r>
        <w:rPr>
          <w:rFonts w:ascii="Arial" w:cs="Arial" w:eastAsia="Arial" w:hAnsi="Arial"/>
          <w:sz w:val="16"/>
          <w:szCs w:val="16"/>
          <w:color w:val="FFFFFF"/>
        </w:rPr>
        <w:t>APAC</w:t>
      </w:r>
    </w:p>
    <w:p>
      <w:pPr>
        <w:jc w:val="center"/>
        <w:ind w:right="1820"/>
        <w:spacing w:after="0"/>
        <w:rPr>
          <w:sz w:val="20"/>
          <w:szCs w:val="20"/>
          <w:color w:val="auto"/>
        </w:rPr>
      </w:pPr>
      <w:r>
        <w:rPr>
          <w:rFonts w:ascii="Arial" w:cs="Arial" w:eastAsia="Arial" w:hAnsi="Arial"/>
          <w:sz w:val="31"/>
          <w:szCs w:val="31"/>
          <w:b w:val="1"/>
          <w:bCs w:val="1"/>
          <w:color w:val="FFFFFF"/>
        </w:rPr>
        <w:t>18%</w:t>
      </w:r>
    </w:p>
    <w:p>
      <w:pPr>
        <w:spacing w:after="0" w:line="3674" w:lineRule="exact"/>
        <w:rPr>
          <w:sz w:val="20"/>
          <w:szCs w:val="20"/>
          <w:color w:val="auto"/>
        </w:rPr>
      </w:pPr>
    </w:p>
    <w:p>
      <w:pPr>
        <w:sectPr>
          <w:pgSz w:w="11880" w:h="15480" w:orient="portrait"/>
          <w:cols w:equalWidth="0" w:num="3">
            <w:col w:w="4260" w:space="720"/>
            <w:col w:w="1860" w:space="720"/>
            <w:col w:w="2460"/>
          </w:cols>
          <w:pgMar w:left="920" w:top="811" w:right="940" w:bottom="465" w:gutter="0" w:footer="0" w:header="0"/>
          <w:type w:val="continuous"/>
        </w:sectPr>
      </w:pPr>
    </w:p>
    <w:p>
      <w:pPr>
        <w:spacing w:after="0" w:line="222" w:lineRule="auto"/>
        <w:tabs>
          <w:tab w:leader="none" w:pos="980" w:val="left"/>
        </w:tabs>
        <w:rPr>
          <w:sz w:val="20"/>
          <w:szCs w:val="20"/>
          <w:color w:val="auto"/>
        </w:rPr>
      </w:pPr>
      <w:r>
        <w:rPr>
          <w:rFonts w:ascii="Arial" w:cs="Arial" w:eastAsia="Arial" w:hAnsi="Arial"/>
          <w:sz w:val="28"/>
          <w:szCs w:val="28"/>
          <w:b w:val="1"/>
          <w:bCs w:val="1"/>
          <w:color w:val="FFFFFF"/>
        </w:rPr>
        <w:t>Fiscal</w:t>
      </w:r>
      <w:r>
        <w:rPr>
          <w:sz w:val="20"/>
          <w:szCs w:val="20"/>
          <w:color w:val="auto"/>
        </w:rPr>
        <w:tab/>
      </w:r>
      <w:r>
        <w:rPr>
          <w:rFonts w:ascii="Arial" w:cs="Arial" w:eastAsia="Arial" w:hAnsi="Arial"/>
          <w:sz w:val="94"/>
          <w:szCs w:val="94"/>
          <w:color w:val="FFFFFF"/>
        </w:rPr>
        <w:t>$1.8B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-583565</wp:posOffset>
                </wp:positionH>
                <wp:positionV relativeFrom="paragraph">
                  <wp:posOffset>-299720</wp:posOffset>
                </wp:positionV>
                <wp:extent cx="3286760" cy="84518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760" cy="845185"/>
                        </a:xfrm>
                        <a:prstGeom prst="rect">
                          <a:avLst/>
                        </a:prstGeom>
                        <a:solidFill>
                          <a:srgbClr val="000034"/>
                        </a:solidFill>
                      </wps:spPr>
                      <wps:bodyPr/>
                    </wps:wsp>
                  </a:graphicData>
                </a:graphic>
              </wp:anchor>
            </w:drawing>
          </mc:Choice>
          <mc:Fallback>
            <w:pict>
              <v:rect id="Shape 3" o:spid="_x0000_s1028" style="position:absolute;margin-left:-45.9499pt;margin-top:-23.5999pt;width:258.8pt;height:66.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4" stroked="f"/>
            </w:pict>
          </mc:Fallback>
        </mc:AlternateContent>
      </w:r>
    </w:p>
    <w:p>
      <w:pPr>
        <w:spacing w:after="0" w:line="225" w:lineRule="auto"/>
        <w:rPr>
          <w:sz w:val="20"/>
          <w:szCs w:val="20"/>
          <w:color w:val="auto"/>
        </w:rPr>
      </w:pPr>
      <w:r>
        <w:rPr>
          <w:rFonts w:ascii="Arial" w:cs="Arial" w:eastAsia="Arial" w:hAnsi="Arial"/>
          <w:sz w:val="28"/>
          <w:szCs w:val="28"/>
          <w:b w:val="1"/>
          <w:bCs w:val="1"/>
          <w:color w:val="FFFFFF"/>
        </w:rPr>
        <w:t>2026</w:t>
      </w:r>
    </w:p>
    <w:p>
      <w:pPr>
        <w:spacing w:after="0" w:line="1"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1940560" cy="1854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94056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FFFFFF"/>
        </w:rPr>
        <w:t>9%</w:t>
      </w:r>
    </w:p>
    <w:p>
      <w:pPr>
        <w:spacing w:after="0" w:line="135" w:lineRule="exact"/>
        <w:rPr>
          <w:sz w:val="20"/>
          <w:szCs w:val="20"/>
          <w:color w:val="auto"/>
        </w:rPr>
      </w:pPr>
    </w:p>
    <w:tbl>
      <w:tblPr>
        <w:tblLayout w:type="fixed"/>
        <w:tblInd w:w="2160" w:type="dxa"/>
        <w:tblCellMar>
          <w:top w:w="0" w:type="dxa"/>
          <w:left w:w="0" w:type="dxa"/>
          <w:bottom w:w="0" w:type="dxa"/>
          <w:right w:w="0" w:type="dxa"/>
        </w:tblCellMar>
      </w:tblPr>
      <w:tr>
        <w:trPr>
          <w:trHeight w:val="322"/>
        </w:trPr>
        <w:tc>
          <w:tcPr>
            <w:tcW w:w="720" w:type="dxa"/>
            <w:vAlign w:val="bottom"/>
          </w:tcPr>
          <w:p>
            <w:pPr>
              <w:jc w:val="right"/>
              <w:ind w:right="160"/>
              <w:spacing w:after="0"/>
              <w:rPr>
                <w:sz w:val="20"/>
                <w:szCs w:val="20"/>
                <w:color w:val="auto"/>
              </w:rPr>
            </w:pPr>
            <w:r>
              <w:rPr>
                <w:rFonts w:ascii="Arial" w:cs="Arial" w:eastAsia="Arial" w:hAnsi="Arial"/>
                <w:sz w:val="24"/>
                <w:szCs w:val="24"/>
                <w:b w:val="1"/>
                <w:bCs w:val="1"/>
                <w:color w:val="FFFFFF"/>
                <w:w w:val="87"/>
              </w:rPr>
              <w:t>21%</w:t>
            </w:r>
          </w:p>
        </w:tc>
        <w:tc>
          <w:tcPr>
            <w:tcW w:w="1280" w:type="dxa"/>
            <w:vAlign w:val="bottom"/>
          </w:tcPr>
          <w:p>
            <w:pPr>
              <w:ind w:left="280"/>
              <w:spacing w:after="0"/>
              <w:rPr>
                <w:sz w:val="20"/>
                <w:szCs w:val="20"/>
                <w:color w:val="auto"/>
              </w:rPr>
            </w:pPr>
            <w:r>
              <w:rPr>
                <w:rFonts w:ascii="Arial" w:cs="Arial" w:eastAsia="Arial" w:hAnsi="Arial"/>
                <w:sz w:val="28"/>
                <w:szCs w:val="28"/>
                <w:b w:val="1"/>
                <w:bCs w:val="1"/>
                <w:color w:val="000034"/>
                <w:w w:val="86"/>
              </w:rPr>
              <w:t>Sales by</w:t>
            </w:r>
          </w:p>
        </w:tc>
      </w:tr>
      <w:tr>
        <w:trPr>
          <w:trHeight w:val="370"/>
        </w:trPr>
        <w:tc>
          <w:tcPr>
            <w:tcW w:w="720" w:type="dxa"/>
            <w:vAlign w:val="bottom"/>
          </w:tcPr>
          <w:p>
            <w:pPr>
              <w:spacing w:after="0"/>
              <w:rPr>
                <w:sz w:val="24"/>
                <w:szCs w:val="24"/>
                <w:color w:val="auto"/>
              </w:rPr>
            </w:pPr>
          </w:p>
        </w:tc>
        <w:tc>
          <w:tcPr>
            <w:tcW w:w="1280" w:type="dxa"/>
            <w:vAlign w:val="bottom"/>
          </w:tcPr>
          <w:p>
            <w:pPr>
              <w:ind w:left="280"/>
              <w:spacing w:after="0"/>
              <w:rPr>
                <w:sz w:val="20"/>
                <w:szCs w:val="20"/>
                <w:color w:val="auto"/>
              </w:rPr>
            </w:pPr>
            <w:r>
              <w:rPr>
                <w:rFonts w:ascii="Arial" w:cs="Arial" w:eastAsia="Arial" w:hAnsi="Arial"/>
                <w:sz w:val="28"/>
                <w:szCs w:val="28"/>
                <w:b w:val="1"/>
                <w:bCs w:val="1"/>
                <w:color w:val="000034"/>
                <w:w w:val="89"/>
              </w:rPr>
              <w:t>Division</w:t>
            </w:r>
          </w:p>
        </w:tc>
      </w:tr>
    </w:tbl>
    <w:p>
      <w:pPr>
        <w:spacing w:after="0" w:line="31" w:lineRule="exact"/>
        <w:rPr>
          <w:sz w:val="20"/>
          <w:szCs w:val="20"/>
          <w:color w:val="auto"/>
        </w:rPr>
      </w:pPr>
    </w:p>
    <w:p>
      <w:pPr>
        <w:ind w:left="3200"/>
        <w:spacing w:after="0"/>
        <w:rPr>
          <w:sz w:val="20"/>
          <w:szCs w:val="20"/>
          <w:color w:val="auto"/>
        </w:rPr>
      </w:pPr>
      <w:r>
        <w:rPr>
          <w:sz w:val="1"/>
          <w:szCs w:val="1"/>
          <w:color w:val="auto"/>
        </w:rPr>
        <w:drawing>
          <wp:inline distT="0" distB="0" distL="0" distR="0">
            <wp:extent cx="96520" cy="167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96520" cy="167005"/>
                    </a:xfrm>
                    <a:prstGeom prst="rect">
                      <a:avLst/>
                    </a:prstGeom>
                    <a:noFill/>
                    <a:ln>
                      <a:noFill/>
                    </a:ln>
                  </pic:spPr>
                </pic:pic>
              </a:graphicData>
            </a:graphic>
          </wp:inline>
        </w:drawing>
      </w:r>
      <w:r>
        <w:rPr>
          <w:rFonts w:ascii="Arial" w:cs="Arial" w:eastAsia="Arial" w:hAnsi="Arial"/>
          <w:sz w:val="16"/>
          <w:szCs w:val="16"/>
          <w:color w:val="000034"/>
        </w:rPr>
        <w:t xml:space="preserve"> Security</w:t>
      </w:r>
    </w:p>
    <w:p>
      <w:pPr>
        <w:ind w:left="3200"/>
        <w:spacing w:after="0"/>
        <w:rPr>
          <w:sz w:val="20"/>
          <w:szCs w:val="20"/>
          <w:color w:val="auto"/>
        </w:rPr>
      </w:pPr>
      <w:r>
        <w:rPr>
          <w:sz w:val="1"/>
          <w:szCs w:val="1"/>
          <w:color w:val="auto"/>
        </w:rPr>
        <w:drawing>
          <wp:inline distT="0" distB="0" distL="0" distR="0">
            <wp:extent cx="96520" cy="15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96520" cy="152400"/>
                    </a:xfrm>
                    <a:prstGeom prst="rect">
                      <a:avLst/>
                    </a:prstGeom>
                    <a:noFill/>
                    <a:ln>
                      <a:noFill/>
                    </a:ln>
                  </pic:spPr>
                </pic:pic>
              </a:graphicData>
            </a:graphic>
          </wp:inline>
        </w:drawing>
      </w:r>
      <w:r>
        <w:rPr>
          <w:rFonts w:ascii="Arial" w:cs="Arial" w:eastAsia="Arial" w:hAnsi="Arial"/>
          <w:sz w:val="16"/>
          <w:szCs w:val="16"/>
          <w:color w:val="000034"/>
        </w:rPr>
        <w:t xml:space="preserve"> Opto</w:t>
      </w:r>
    </w:p>
    <w:p>
      <w:pPr>
        <w:spacing w:after="0" w:line="2" w:lineRule="exact"/>
        <w:rPr>
          <w:sz w:val="20"/>
          <w:szCs w:val="20"/>
          <w:color w:val="auto"/>
        </w:rPr>
      </w:pPr>
    </w:p>
    <w:p>
      <w:pPr>
        <w:ind w:left="3200"/>
        <w:spacing w:after="0"/>
        <w:rPr>
          <w:sz w:val="20"/>
          <w:szCs w:val="20"/>
          <w:color w:val="auto"/>
        </w:rPr>
      </w:pPr>
      <w:r>
        <w:rPr>
          <w:sz w:val="1"/>
          <w:szCs w:val="1"/>
          <w:color w:val="auto"/>
        </w:rPr>
        <w:drawing>
          <wp:inline distT="0" distB="0" distL="0" distR="0">
            <wp:extent cx="96520" cy="1670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96520" cy="167005"/>
                    </a:xfrm>
                    <a:prstGeom prst="rect">
                      <a:avLst/>
                    </a:prstGeom>
                    <a:noFill/>
                    <a:ln>
                      <a:noFill/>
                    </a:ln>
                  </pic:spPr>
                </pic:pic>
              </a:graphicData>
            </a:graphic>
          </wp:inline>
        </w:drawing>
      </w:r>
      <w:r>
        <w:rPr>
          <w:rFonts w:ascii="Arial" w:cs="Arial" w:eastAsia="Arial" w:hAnsi="Arial"/>
          <w:sz w:val="16"/>
          <w:szCs w:val="16"/>
          <w:color w:val="000034"/>
        </w:rPr>
        <w:t xml:space="preserve"> Healthcare</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FFFFFF"/>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000034"/>
        </w:rPr>
        <w:t>Reconciliation of GAAP to Non-GAAP EPS</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159"/>
        </w:trPr>
        <w:tc>
          <w:tcPr>
            <w:tcW w:w="3180" w:type="dxa"/>
            <w:vAlign w:val="bottom"/>
          </w:tcPr>
          <w:p>
            <w:pPr>
              <w:ind w:left="20"/>
              <w:spacing w:after="0"/>
              <w:rPr>
                <w:sz w:val="20"/>
                <w:szCs w:val="20"/>
                <w:color w:val="auto"/>
              </w:rPr>
            </w:pPr>
            <w:r>
              <w:rPr>
                <w:rFonts w:ascii="Arial" w:cs="Arial" w:eastAsia="Arial" w:hAnsi="Arial"/>
                <w:sz w:val="12"/>
                <w:szCs w:val="12"/>
                <w:color w:val="000034"/>
              </w:rPr>
              <w:t>DILUTED EPS</w:t>
            </w:r>
          </w:p>
        </w:tc>
        <w:tc>
          <w:tcPr>
            <w:tcW w:w="1040" w:type="dxa"/>
            <w:vAlign w:val="bottom"/>
            <w:gridSpan w:val="2"/>
          </w:tcPr>
          <w:p>
            <w:pPr>
              <w:ind w:left="600"/>
              <w:spacing w:after="0"/>
              <w:rPr>
                <w:sz w:val="20"/>
                <w:szCs w:val="20"/>
                <w:color w:val="auto"/>
              </w:rPr>
            </w:pPr>
            <w:r>
              <w:rPr>
                <w:rFonts w:ascii="Arial" w:cs="Arial" w:eastAsia="Arial" w:hAnsi="Arial"/>
                <w:sz w:val="12"/>
                <w:szCs w:val="12"/>
                <w:color w:val="000034"/>
                <w:w w:val="92"/>
              </w:rPr>
              <w:t>FY 2022</w:t>
            </w:r>
          </w:p>
        </w:tc>
      </w:tr>
      <w:tr>
        <w:trPr>
          <w:trHeight w:val="219"/>
        </w:trPr>
        <w:tc>
          <w:tcPr>
            <w:tcW w:w="3180" w:type="dxa"/>
            <w:vAlign w:val="bottom"/>
          </w:tcPr>
          <w:p>
            <w:pPr>
              <w:spacing w:after="0"/>
              <w:rPr>
                <w:sz w:val="20"/>
                <w:szCs w:val="20"/>
                <w:color w:val="auto"/>
              </w:rPr>
            </w:pPr>
            <w:r>
              <w:rPr>
                <w:rFonts w:ascii="Arial" w:cs="Arial" w:eastAsia="Arial" w:hAnsi="Arial"/>
                <w:sz w:val="12"/>
                <w:szCs w:val="12"/>
                <w:color w:val="000034"/>
              </w:rPr>
              <w:t>GAAP basis</w:t>
            </w:r>
          </w:p>
        </w:tc>
        <w:tc>
          <w:tcPr>
            <w:tcW w:w="700" w:type="dxa"/>
            <w:vAlign w:val="bottom"/>
          </w:tcPr>
          <w:p>
            <w:pPr>
              <w:ind w:left="600"/>
              <w:spacing w:after="0"/>
              <w:rPr>
                <w:sz w:val="20"/>
                <w:szCs w:val="20"/>
                <w:color w:val="auto"/>
              </w:rPr>
            </w:pPr>
            <w:r>
              <w:rPr>
                <w:rFonts w:ascii="Arial" w:cs="Arial" w:eastAsia="Arial" w:hAnsi="Arial"/>
                <w:sz w:val="12"/>
                <w:szCs w:val="12"/>
                <w:color w:val="000034"/>
              </w:rPr>
              <w:t>$</w:t>
            </w:r>
          </w:p>
        </w:tc>
        <w:tc>
          <w:tcPr>
            <w:tcW w:w="340" w:type="dxa"/>
            <w:vAlign w:val="bottom"/>
          </w:tcPr>
          <w:p>
            <w:pPr>
              <w:jc w:val="right"/>
              <w:spacing w:after="0"/>
              <w:rPr>
                <w:sz w:val="20"/>
                <w:szCs w:val="20"/>
                <w:color w:val="auto"/>
              </w:rPr>
            </w:pPr>
            <w:r>
              <w:rPr>
                <w:rFonts w:ascii="Arial" w:cs="Arial" w:eastAsia="Arial" w:hAnsi="Arial"/>
                <w:sz w:val="12"/>
                <w:szCs w:val="12"/>
                <w:color w:val="000034"/>
              </w:rPr>
              <w:t>6.45</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Impairment, restructuring, and other charges</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0.42</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Amortization of acquired intangible assets</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0.75</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Non-recurring retirement expense for former CEO</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Non-cash interest expense</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0.03</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Gain from disposition of business</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(1.53)</w:t>
            </w:r>
          </w:p>
        </w:tc>
      </w:tr>
      <w:tr>
        <w:trPr>
          <w:trHeight w:val="140"/>
        </w:trPr>
        <w:tc>
          <w:tcPr>
            <w:tcW w:w="3180" w:type="dxa"/>
            <w:vAlign w:val="bottom"/>
          </w:tcPr>
          <w:p>
            <w:pPr>
              <w:spacing w:after="0"/>
              <w:rPr>
                <w:sz w:val="20"/>
                <w:szCs w:val="20"/>
                <w:color w:val="auto"/>
              </w:rPr>
            </w:pPr>
            <w:r>
              <w:rPr>
                <w:rFonts w:ascii="Arial" w:cs="Arial" w:eastAsia="Arial" w:hAnsi="Arial"/>
                <w:sz w:val="12"/>
                <w:szCs w:val="12"/>
                <w:color w:val="000034"/>
              </w:rPr>
              <w:t>Tax effect of the above adjustments</w:t>
            </w:r>
          </w:p>
        </w:tc>
        <w:tc>
          <w:tcPr>
            <w:tcW w:w="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0.08</w:t>
            </w:r>
          </w:p>
        </w:tc>
      </w:tr>
      <w:tr>
        <w:trPr>
          <w:trHeight w:val="159"/>
        </w:trPr>
        <w:tc>
          <w:tcPr>
            <w:tcW w:w="3180" w:type="dxa"/>
            <w:vAlign w:val="bottom"/>
          </w:tcPr>
          <w:p>
            <w:pPr>
              <w:spacing w:after="0"/>
              <w:rPr>
                <w:sz w:val="20"/>
                <w:szCs w:val="20"/>
                <w:color w:val="auto"/>
              </w:rPr>
            </w:pPr>
            <w:r>
              <w:rPr>
                <w:rFonts w:ascii="Arial" w:cs="Arial" w:eastAsia="Arial" w:hAnsi="Arial"/>
                <w:sz w:val="12"/>
                <w:szCs w:val="12"/>
                <w:color w:val="000034"/>
              </w:rPr>
              <w:t>Discrete income tax items</w:t>
            </w: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(0.39)</w:t>
            </w:r>
          </w:p>
        </w:tc>
      </w:tr>
      <w:tr>
        <w:trPr>
          <w:trHeight w:val="205"/>
        </w:trPr>
        <w:tc>
          <w:tcPr>
            <w:tcW w:w="3180" w:type="dxa"/>
            <w:vAlign w:val="bottom"/>
          </w:tcPr>
          <w:p>
            <w:pPr>
              <w:spacing w:after="0"/>
              <w:rPr>
                <w:sz w:val="20"/>
                <w:szCs w:val="20"/>
                <w:color w:val="auto"/>
              </w:rPr>
            </w:pPr>
            <w:r>
              <w:rPr>
                <w:rFonts w:ascii="Arial" w:cs="Arial" w:eastAsia="Arial" w:hAnsi="Arial"/>
                <w:sz w:val="12"/>
                <w:szCs w:val="12"/>
                <w:color w:val="000034"/>
              </w:rPr>
              <w:t>Non-GAAP basis</w:t>
            </w:r>
          </w:p>
        </w:tc>
        <w:tc>
          <w:tcPr>
            <w:tcW w:w="700" w:type="dxa"/>
            <w:vAlign w:val="bottom"/>
          </w:tcPr>
          <w:p>
            <w:pPr>
              <w:ind w:left="600"/>
              <w:spacing w:after="0"/>
              <w:rPr>
                <w:sz w:val="20"/>
                <w:szCs w:val="20"/>
                <w:color w:val="auto"/>
              </w:rPr>
            </w:pPr>
            <w:r>
              <w:rPr>
                <w:rFonts w:ascii="Arial" w:cs="Arial" w:eastAsia="Arial" w:hAnsi="Arial"/>
                <w:sz w:val="12"/>
                <w:szCs w:val="12"/>
                <w:color w:val="000034"/>
              </w:rPr>
              <w:t>$</w:t>
            </w:r>
          </w:p>
        </w:tc>
        <w:tc>
          <w:tcPr>
            <w:tcW w:w="340" w:type="dxa"/>
            <w:vAlign w:val="bottom"/>
          </w:tcPr>
          <w:p>
            <w:pPr>
              <w:jc w:val="right"/>
              <w:spacing w:after="0"/>
              <w:rPr>
                <w:sz w:val="20"/>
                <w:szCs w:val="20"/>
                <w:color w:val="auto"/>
              </w:rPr>
            </w:pPr>
            <w:r>
              <w:rPr>
                <w:rFonts w:ascii="Arial" w:cs="Arial" w:eastAsia="Arial" w:hAnsi="Arial"/>
                <w:sz w:val="12"/>
                <w:szCs w:val="12"/>
                <w:color w:val="000034"/>
              </w:rPr>
              <w:t>5.81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6"/>
        </w:trPr>
        <w:tc>
          <w:tcPr>
            <w:tcW w:w="320" w:type="dxa"/>
            <w:vAlign w:val="bottom"/>
            <w:textDirection w:val="btLr"/>
          </w:tcPr>
          <w:p>
            <w:pPr>
              <w:ind w:left="33"/>
              <w:spacing w:after="0"/>
              <w:rPr>
                <w:sz w:val="20"/>
                <w:szCs w:val="20"/>
                <w:color w:val="auto"/>
              </w:rPr>
            </w:pPr>
            <w:r>
              <w:rPr>
                <w:rFonts w:ascii="Arial" w:cs="Arial" w:eastAsia="Arial" w:hAnsi="Arial"/>
                <w:sz w:val="19"/>
                <w:szCs w:val="19"/>
                <w:b w:val="1"/>
                <w:bCs w:val="1"/>
                <w:color w:val="000034"/>
                <w:w w:val="97"/>
              </w:rPr>
              <w:t>$1,183M</w:t>
            </w:r>
          </w:p>
        </w:tc>
        <w:tc>
          <w:tcPr>
            <w:tcW w:w="440" w:type="dxa"/>
            <w:vAlign w:val="bottom"/>
            <w:textDirection w:val="btLr"/>
          </w:tcPr>
          <w:p>
            <w:pPr>
              <w:ind w:left="162"/>
              <w:spacing w:after="0"/>
              <w:rPr>
                <w:sz w:val="20"/>
                <w:szCs w:val="20"/>
                <w:color w:val="auto"/>
              </w:rPr>
            </w:pPr>
            <w:r>
              <w:rPr>
                <w:rFonts w:ascii="Arial" w:cs="Arial" w:eastAsia="Arial" w:hAnsi="Arial"/>
                <w:sz w:val="19"/>
                <w:szCs w:val="19"/>
                <w:b w:val="1"/>
                <w:bCs w:val="1"/>
                <w:color w:val="000034"/>
              </w:rPr>
              <w:t>$1,278M</w:t>
            </w:r>
          </w:p>
        </w:tc>
        <w:tc>
          <w:tcPr>
            <w:tcW w:w="460" w:type="dxa"/>
            <w:vAlign w:val="bottom"/>
            <w:textDirection w:val="btLr"/>
          </w:tcPr>
          <w:p>
            <w:pPr>
              <w:ind w:left="170"/>
              <w:spacing w:after="0"/>
              <w:rPr>
                <w:sz w:val="20"/>
                <w:szCs w:val="20"/>
                <w:color w:val="auto"/>
              </w:rPr>
            </w:pPr>
            <w:r>
              <w:rPr>
                <w:rFonts w:ascii="Arial" w:cs="Arial" w:eastAsia="Arial" w:hAnsi="Arial"/>
                <w:sz w:val="19"/>
                <w:szCs w:val="19"/>
                <w:b w:val="1"/>
                <w:bCs w:val="1"/>
                <w:color w:val="000034"/>
              </w:rPr>
              <w:t>$1,539M</w:t>
            </w:r>
          </w:p>
        </w:tc>
        <w:tc>
          <w:tcPr>
            <w:tcW w:w="440" w:type="dxa"/>
            <w:vAlign w:val="bottom"/>
            <w:textDirection w:val="btLr"/>
          </w:tcPr>
          <w:p>
            <w:pPr>
              <w:ind w:left="158"/>
              <w:spacing w:after="0"/>
              <w:rPr>
                <w:sz w:val="20"/>
                <w:szCs w:val="20"/>
                <w:color w:val="auto"/>
              </w:rPr>
            </w:pPr>
            <w:r>
              <w:rPr>
                <w:rFonts w:ascii="Arial" w:cs="Arial" w:eastAsia="Arial" w:hAnsi="Arial"/>
                <w:sz w:val="19"/>
                <w:szCs w:val="19"/>
                <w:b w:val="1"/>
                <w:bCs w:val="1"/>
                <w:color w:val="000034"/>
              </w:rPr>
              <w:t>$1,713M</w:t>
            </w:r>
          </w:p>
        </w:tc>
        <w:tc>
          <w:tcPr>
            <w:tcW w:w="800" w:type="dxa"/>
            <w:vAlign w:val="bottom"/>
            <w:textDirection w:val="btLr"/>
          </w:tcPr>
          <w:p>
            <w:pPr>
              <w:ind w:left="166"/>
              <w:spacing w:after="0"/>
              <w:rPr>
                <w:sz w:val="20"/>
                <w:szCs w:val="20"/>
                <w:color w:val="auto"/>
              </w:rPr>
            </w:pPr>
            <w:r>
              <w:rPr>
                <w:rFonts w:ascii="Arial" w:cs="Arial" w:eastAsia="Arial" w:hAnsi="Arial"/>
                <w:sz w:val="19"/>
                <w:szCs w:val="19"/>
                <w:b w:val="1"/>
                <w:bCs w:val="1"/>
                <w:color w:val="000034"/>
              </w:rPr>
              <w:t>$1,786M</w:t>
            </w:r>
          </w:p>
        </w:tc>
        <w:tc>
          <w:tcPr>
            <w:tcW w:w="780" w:type="dxa"/>
            <w:vAlign w:val="bottom"/>
            <w:textDirection w:val="btLr"/>
          </w:tcPr>
          <w:p>
            <w:pPr>
              <w:spacing w:after="0"/>
              <w:rPr>
                <w:sz w:val="20"/>
                <w:szCs w:val="20"/>
                <w:color w:val="auto"/>
              </w:rPr>
            </w:pPr>
            <w:r>
              <w:rPr>
                <w:rFonts w:ascii="Arial" w:cs="Arial" w:eastAsia="Arial" w:hAnsi="Arial"/>
                <w:sz w:val="19"/>
                <w:szCs w:val="19"/>
                <w:b w:val="1"/>
                <w:bCs w:val="1"/>
                <w:color w:val="000034"/>
              </w:rPr>
              <w:t>$5.81</w:t>
            </w:r>
          </w:p>
        </w:tc>
        <w:tc>
          <w:tcPr>
            <w:tcW w:w="460" w:type="dxa"/>
            <w:vAlign w:val="bottom"/>
            <w:textDirection w:val="btLr"/>
          </w:tcPr>
          <w:p>
            <w:pPr>
              <w:spacing w:after="0"/>
              <w:rPr>
                <w:sz w:val="20"/>
                <w:szCs w:val="20"/>
                <w:color w:val="auto"/>
              </w:rPr>
            </w:pPr>
            <w:r>
              <w:rPr>
                <w:rFonts w:ascii="Arial" w:cs="Arial" w:eastAsia="Arial" w:hAnsi="Arial"/>
                <w:sz w:val="19"/>
                <w:szCs w:val="19"/>
                <w:b w:val="1"/>
                <w:bCs w:val="1"/>
                <w:color w:val="000034"/>
              </w:rPr>
              <w:t>$6.21</w:t>
            </w:r>
          </w:p>
        </w:tc>
        <w:tc>
          <w:tcPr>
            <w:tcW w:w="440" w:type="dxa"/>
            <w:vAlign w:val="bottom"/>
            <w:textDirection w:val="btLr"/>
          </w:tcPr>
          <w:p>
            <w:pPr>
              <w:spacing w:after="0"/>
              <w:rPr>
                <w:sz w:val="20"/>
                <w:szCs w:val="20"/>
                <w:color w:val="auto"/>
              </w:rPr>
            </w:pPr>
            <w:r>
              <w:rPr>
                <w:rFonts w:ascii="Arial" w:cs="Arial" w:eastAsia="Arial" w:hAnsi="Arial"/>
                <w:sz w:val="19"/>
                <w:szCs w:val="19"/>
                <w:b w:val="1"/>
                <w:bCs w:val="1"/>
                <w:color w:val="000034"/>
              </w:rPr>
              <w:t>13$8.</w:t>
            </w:r>
          </w:p>
        </w:tc>
        <w:tc>
          <w:tcPr>
            <w:tcW w:w="440" w:type="dxa"/>
            <w:vAlign w:val="bottom"/>
            <w:textDirection w:val="btLr"/>
          </w:tcPr>
          <w:p>
            <w:pPr>
              <w:spacing w:after="0"/>
              <w:rPr>
                <w:sz w:val="20"/>
                <w:szCs w:val="20"/>
                <w:color w:val="auto"/>
              </w:rPr>
            </w:pPr>
            <w:r>
              <w:rPr>
                <w:rFonts w:ascii="Arial" w:cs="Arial" w:eastAsia="Arial" w:hAnsi="Arial"/>
                <w:sz w:val="19"/>
                <w:szCs w:val="19"/>
                <w:b w:val="1"/>
                <w:bCs w:val="1"/>
                <w:color w:val="000034"/>
              </w:rPr>
              <w:t>36$9.</w:t>
            </w:r>
          </w:p>
        </w:tc>
        <w:tc>
          <w:tcPr>
            <w:tcW w:w="320" w:type="dxa"/>
            <w:vAlign w:val="bottom"/>
            <w:textDirection w:val="btLr"/>
          </w:tcPr>
          <w:p>
            <w:pPr>
              <w:spacing w:after="0" w:line="215" w:lineRule="auto"/>
              <w:rPr>
                <w:sz w:val="20"/>
                <w:szCs w:val="20"/>
                <w:color w:val="auto"/>
              </w:rPr>
            </w:pPr>
            <w:r>
              <w:rPr>
                <w:rFonts w:ascii="Arial" w:cs="Arial" w:eastAsia="Arial" w:hAnsi="Arial"/>
                <w:sz w:val="19"/>
                <w:szCs w:val="19"/>
                <w:b w:val="1"/>
                <w:bCs w:val="1"/>
                <w:color w:val="000034"/>
              </w:rPr>
              <w:t>35$10.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-712470</wp:posOffset>
                </wp:positionV>
                <wp:extent cx="220980" cy="180848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1808480"/>
                        </a:xfrm>
                        <a:prstGeom prst="rect">
                          <a:avLst/>
                        </a:prstGeom>
                        <a:solidFill>
                          <a:srgbClr val="3E89C0"/>
                        </a:solidFill>
                      </wps:spPr>
                      <wps:bodyPr/>
                    </wps:wsp>
                  </a:graphicData>
                </a:graphic>
              </wp:anchor>
            </w:drawing>
          </mc:Choice>
          <mc:Fallback>
            <w:pict>
              <v:rect id="Shape 8" o:spid="_x0000_s1033" style="position:absolute;margin-left:-2.2999pt;margin-top:-56.0999pt;width:17.4pt;height:14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254635</wp:posOffset>
                </wp:positionH>
                <wp:positionV relativeFrom="paragraph">
                  <wp:posOffset>-857885</wp:posOffset>
                </wp:positionV>
                <wp:extent cx="221615" cy="195389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615" cy="1953895"/>
                        </a:xfrm>
                        <a:prstGeom prst="rect">
                          <a:avLst/>
                        </a:prstGeom>
                        <a:solidFill>
                          <a:srgbClr val="3E89C0"/>
                        </a:solidFill>
                      </wps:spPr>
                      <wps:bodyPr/>
                    </wps:wsp>
                  </a:graphicData>
                </a:graphic>
              </wp:anchor>
            </w:drawing>
          </mc:Choice>
          <mc:Fallback>
            <w:pict>
              <v:rect id="Shape 9" o:spid="_x0000_s1034" style="position:absolute;margin-left:20.05pt;margin-top:-67.5499pt;width:17.45pt;height:15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1108710</wp:posOffset>
                </wp:positionH>
                <wp:positionV relativeFrom="paragraph">
                  <wp:posOffset>-1635125</wp:posOffset>
                </wp:positionV>
                <wp:extent cx="220980" cy="273113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2731135"/>
                        </a:xfrm>
                        <a:prstGeom prst="rect">
                          <a:avLst/>
                        </a:prstGeom>
                        <a:solidFill>
                          <a:srgbClr val="3E89C0"/>
                        </a:solidFill>
                      </wps:spPr>
                      <wps:bodyPr/>
                    </wps:wsp>
                  </a:graphicData>
                </a:graphic>
              </wp:anchor>
            </w:drawing>
          </mc:Choice>
          <mc:Fallback>
            <w:pict>
              <v:rect id="Shape 10" o:spid="_x0000_s1035" style="position:absolute;margin-left:87.3pt;margin-top:-128.7499pt;width:17.4pt;height:21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539115</wp:posOffset>
                </wp:positionH>
                <wp:positionV relativeFrom="paragraph">
                  <wp:posOffset>-1257300</wp:posOffset>
                </wp:positionV>
                <wp:extent cx="221615" cy="235331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615" cy="2353310"/>
                        </a:xfrm>
                        <a:prstGeom prst="rect">
                          <a:avLst/>
                        </a:prstGeom>
                        <a:solidFill>
                          <a:srgbClr val="3E89C0"/>
                        </a:solidFill>
                      </wps:spPr>
                      <wps:bodyPr/>
                    </wps:wsp>
                  </a:graphicData>
                </a:graphic>
              </wp:anchor>
            </w:drawing>
          </mc:Choice>
          <mc:Fallback>
            <w:pict>
              <v:rect id="Shape 11" o:spid="_x0000_s1036" style="position:absolute;margin-left:42.45pt;margin-top:-99pt;width:17.45pt;height:18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824230</wp:posOffset>
                </wp:positionH>
                <wp:positionV relativeFrom="paragraph">
                  <wp:posOffset>-1523365</wp:posOffset>
                </wp:positionV>
                <wp:extent cx="220980" cy="26193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2619375"/>
                        </a:xfrm>
                        <a:prstGeom prst="rect">
                          <a:avLst/>
                        </a:prstGeom>
                        <a:solidFill>
                          <a:srgbClr val="3E89C0"/>
                        </a:solidFill>
                      </wps:spPr>
                      <wps:bodyPr/>
                    </wps:wsp>
                  </a:graphicData>
                </a:graphic>
              </wp:anchor>
            </w:drawing>
          </mc:Choice>
          <mc:Fallback>
            <w:pict>
              <v:rect id="Shape 12" o:spid="_x0000_s1037" style="position:absolute;margin-left:64.9pt;margin-top:-119.9499pt;width:17.4pt;height:20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2960370</wp:posOffset>
                </wp:positionH>
                <wp:positionV relativeFrom="paragraph">
                  <wp:posOffset>-1541780</wp:posOffset>
                </wp:positionV>
                <wp:extent cx="220980" cy="26377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2637790"/>
                        </a:xfrm>
                        <a:prstGeom prst="rect">
                          <a:avLst/>
                        </a:prstGeom>
                        <a:solidFill>
                          <a:srgbClr val="3E89C0"/>
                        </a:solidFill>
                      </wps:spPr>
                      <wps:bodyPr/>
                    </wps:wsp>
                  </a:graphicData>
                </a:graphic>
              </wp:anchor>
            </w:drawing>
          </mc:Choice>
          <mc:Fallback>
            <w:pict>
              <v:rect id="Shape 13" o:spid="_x0000_s1038" style="position:absolute;margin-left:233.1pt;margin-top:-121.3999pt;width:17.4pt;height:207.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2110105</wp:posOffset>
                </wp:positionH>
                <wp:positionV relativeFrom="paragraph">
                  <wp:posOffset>-486410</wp:posOffset>
                </wp:positionV>
                <wp:extent cx="220980" cy="158242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1582420"/>
                        </a:xfrm>
                        <a:prstGeom prst="rect">
                          <a:avLst/>
                        </a:prstGeom>
                        <a:solidFill>
                          <a:srgbClr val="3E89C0"/>
                        </a:solidFill>
                      </wps:spPr>
                      <wps:bodyPr/>
                    </wps:wsp>
                  </a:graphicData>
                </a:graphic>
              </wp:anchor>
            </w:drawing>
          </mc:Choice>
          <mc:Fallback>
            <w:pict>
              <v:rect id="Shape 14" o:spid="_x0000_s1039" style="position:absolute;margin-left:166.15pt;margin-top:-38.2999pt;width:17.4pt;height:12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2676525</wp:posOffset>
                </wp:positionH>
                <wp:positionV relativeFrom="paragraph">
                  <wp:posOffset>-1289050</wp:posOffset>
                </wp:positionV>
                <wp:extent cx="221615" cy="238506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615" cy="2385060"/>
                        </a:xfrm>
                        <a:prstGeom prst="rect">
                          <a:avLst/>
                        </a:prstGeom>
                        <a:solidFill>
                          <a:srgbClr val="3E89C0"/>
                        </a:solidFill>
                      </wps:spPr>
                      <wps:bodyPr/>
                    </wps:wsp>
                  </a:graphicData>
                </a:graphic>
              </wp:anchor>
            </w:drawing>
          </mc:Choice>
          <mc:Fallback>
            <w:pict>
              <v:rect id="Shape 15" o:spid="_x0000_s1040" style="position:absolute;margin-left:210.75pt;margin-top:-101.4999pt;width:17.45pt;height:18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1826260</wp:posOffset>
                </wp:positionH>
                <wp:positionV relativeFrom="paragraph">
                  <wp:posOffset>-384175</wp:posOffset>
                </wp:positionV>
                <wp:extent cx="221615" cy="148018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615" cy="1480185"/>
                        </a:xfrm>
                        <a:prstGeom prst="rect">
                          <a:avLst/>
                        </a:prstGeom>
                        <a:solidFill>
                          <a:srgbClr val="3E89C0"/>
                        </a:solidFill>
                      </wps:spPr>
                      <wps:bodyPr/>
                    </wps:wsp>
                  </a:graphicData>
                </a:graphic>
              </wp:anchor>
            </w:drawing>
          </mc:Choice>
          <mc:Fallback>
            <w:pict>
              <v:rect id="Shape 16" o:spid="_x0000_s1041" style="position:absolute;margin-left:143.8pt;margin-top:-30.2499pt;width:17.45pt;height:116.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mc:AlternateContent>
          <mc:Choice Requires="wps">
            <w:drawing>
              <wp:anchor simplePos="0" relativeHeight="251657728" behindDoc="1" locked="0" layoutInCell="0" allowOverlap="1">
                <wp:simplePos x="0" y="0"/>
                <wp:positionH relativeFrom="column">
                  <wp:posOffset>2393315</wp:posOffset>
                </wp:positionH>
                <wp:positionV relativeFrom="paragraph">
                  <wp:posOffset>-975995</wp:posOffset>
                </wp:positionV>
                <wp:extent cx="220980" cy="207200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2072005"/>
                        </a:xfrm>
                        <a:prstGeom prst="rect">
                          <a:avLst/>
                        </a:prstGeom>
                        <a:solidFill>
                          <a:srgbClr val="3E89C0"/>
                        </a:solidFill>
                      </wps:spPr>
                      <wps:bodyPr/>
                    </wps:wsp>
                  </a:graphicData>
                </a:graphic>
              </wp:anchor>
            </w:drawing>
          </mc:Choice>
          <mc:Fallback>
            <w:pict>
              <v:rect id="Shape 17" o:spid="_x0000_s1042" style="position:absolute;margin-left:188.45pt;margin-top:-76.8499pt;width:17.4pt;height:16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9C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723"/>
        </w:trPr>
        <w:tc>
          <w:tcPr>
            <w:tcW w:w="300" w:type="dxa"/>
            <w:vAlign w:val="bottom"/>
            <w:textDirection w:val="btLr"/>
          </w:tcPr>
          <w:p>
            <w:pPr>
              <w:ind w:left="33"/>
              <w:spacing w:after="0"/>
              <w:rPr>
                <w:sz w:val="20"/>
                <w:szCs w:val="20"/>
                <w:color w:val="auto"/>
              </w:rPr>
            </w:pPr>
            <w:r>
              <w:rPr>
                <w:rFonts w:ascii="Arial" w:cs="Arial" w:eastAsia="Arial" w:hAnsi="Arial"/>
                <w:sz w:val="19"/>
                <w:szCs w:val="19"/>
                <w:color w:val="FFFFFF"/>
              </w:rPr>
              <w:t>FY 2022</w:t>
            </w:r>
          </w:p>
        </w:tc>
        <w:tc>
          <w:tcPr>
            <w:tcW w:w="1420" w:type="dxa"/>
            <w:vAlign w:val="bottom"/>
            <w:textDirection w:val="btLr"/>
          </w:tcPr>
          <w:p>
            <w:pPr>
              <w:ind w:left="1193"/>
              <w:spacing w:after="0"/>
              <w:rPr>
                <w:sz w:val="20"/>
                <w:szCs w:val="20"/>
                <w:color w:val="auto"/>
              </w:rPr>
            </w:pPr>
            <w:r>
              <w:rPr>
                <w:rFonts w:ascii="Arial" w:cs="Arial" w:eastAsia="Arial" w:hAnsi="Arial"/>
                <w:sz w:val="9"/>
                <w:szCs w:val="9"/>
                <w:color w:val="FFFFFF"/>
                <w:w w:val="74"/>
              </w:rPr>
              <w:t>FY 2023FY2024FY2025</w:t>
            </w:r>
          </w:p>
        </w:tc>
        <w:tc>
          <w:tcPr>
            <w:tcW w:w="740" w:type="dxa"/>
            <w:vAlign w:val="bottom"/>
            <w:textDirection w:val="btLr"/>
          </w:tcPr>
          <w:p>
            <w:pPr>
              <w:ind w:left="106"/>
              <w:spacing w:after="0"/>
              <w:rPr>
                <w:sz w:val="20"/>
                <w:szCs w:val="20"/>
                <w:color w:val="auto"/>
              </w:rPr>
            </w:pPr>
            <w:r>
              <w:rPr>
                <w:rFonts w:ascii="Arial" w:cs="Arial" w:eastAsia="Arial" w:hAnsi="Arial"/>
                <w:sz w:val="19"/>
                <w:szCs w:val="19"/>
                <w:color w:val="FFFFFF"/>
              </w:rPr>
              <w:t>FY 2026</w:t>
            </w:r>
          </w:p>
        </w:tc>
        <w:tc>
          <w:tcPr>
            <w:tcW w:w="2460" w:type="dxa"/>
            <w:vAlign w:val="bottom"/>
            <w:textDirection w:val="btLr"/>
          </w:tcPr>
          <w:p>
            <w:pPr>
              <w:spacing w:after="0"/>
              <w:rPr>
                <w:sz w:val="20"/>
                <w:szCs w:val="20"/>
                <w:color w:val="auto"/>
              </w:rPr>
            </w:pPr>
            <w:r>
              <w:rPr>
                <w:rFonts w:ascii="Arial" w:cs="Arial" w:eastAsia="Arial" w:hAnsi="Arial"/>
                <w:sz w:val="5"/>
                <w:szCs w:val="5"/>
                <w:color w:val="FFFFFF"/>
                <w:w w:val="78"/>
              </w:rPr>
              <w:t>FY 2022FY2023FY2024FY2025FY2026</w:t>
            </w:r>
          </w:p>
        </w:tc>
      </w:tr>
      <w:tr>
        <w:trPr>
          <w:trHeight w:val="567"/>
        </w:trPr>
        <w:tc>
          <w:tcPr>
            <w:tcW w:w="30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28"/>
                <w:szCs w:val="28"/>
                <w:b w:val="1"/>
                <w:bCs w:val="1"/>
                <w:color w:val="000034"/>
                <w:w w:val="98"/>
              </w:rPr>
              <w:t>Revenues</w:t>
            </w:r>
          </w:p>
        </w:tc>
        <w:tc>
          <w:tcPr>
            <w:tcW w:w="7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8"/>
                <w:szCs w:val="28"/>
                <w:b w:val="1"/>
                <w:bCs w:val="1"/>
                <w:color w:val="000034"/>
              </w:rPr>
              <w:t>Non-GAAP EPS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940" w:type="dxa"/>
            <w:vAlign w:val="bottom"/>
            <w:gridSpan w:val="2"/>
          </w:tcPr>
          <w:p>
            <w:pPr>
              <w:spacing w:after="0"/>
              <w:rPr>
                <w:sz w:val="20"/>
                <w:szCs w:val="20"/>
                <w:color w:val="auto"/>
              </w:rPr>
            </w:pPr>
            <w:r>
              <w:rPr>
                <w:rFonts w:ascii="Arial" w:cs="Arial" w:eastAsia="Arial" w:hAnsi="Arial"/>
                <w:sz w:val="12"/>
                <w:szCs w:val="12"/>
                <w:color w:val="000034"/>
              </w:rPr>
              <w:t>FY 2023</w:t>
            </w:r>
          </w:p>
        </w:tc>
        <w:tc>
          <w:tcPr>
            <w:tcW w:w="1420" w:type="dxa"/>
            <w:vAlign w:val="bottom"/>
            <w:gridSpan w:val="2"/>
          </w:tcPr>
          <w:p>
            <w:pPr>
              <w:ind w:left="500"/>
              <w:spacing w:after="0"/>
              <w:rPr>
                <w:sz w:val="20"/>
                <w:szCs w:val="20"/>
                <w:color w:val="auto"/>
              </w:rPr>
            </w:pPr>
            <w:r>
              <w:rPr>
                <w:rFonts w:ascii="Arial" w:cs="Arial" w:eastAsia="Arial" w:hAnsi="Arial"/>
                <w:sz w:val="12"/>
                <w:szCs w:val="12"/>
                <w:color w:val="000034"/>
              </w:rPr>
              <w:t>FY 2024</w:t>
            </w:r>
          </w:p>
        </w:tc>
        <w:tc>
          <w:tcPr>
            <w:tcW w:w="1420" w:type="dxa"/>
            <w:vAlign w:val="bottom"/>
            <w:gridSpan w:val="2"/>
          </w:tcPr>
          <w:p>
            <w:pPr>
              <w:ind w:left="500"/>
              <w:spacing w:after="0"/>
              <w:rPr>
                <w:sz w:val="20"/>
                <w:szCs w:val="20"/>
                <w:color w:val="auto"/>
              </w:rPr>
            </w:pPr>
            <w:r>
              <w:rPr>
                <w:rFonts w:ascii="Arial" w:cs="Arial" w:eastAsia="Arial" w:hAnsi="Arial"/>
                <w:sz w:val="12"/>
                <w:szCs w:val="12"/>
                <w:color w:val="000034"/>
              </w:rPr>
              <w:t>FY 2025</w:t>
            </w:r>
          </w:p>
        </w:tc>
        <w:tc>
          <w:tcPr>
            <w:tcW w:w="940" w:type="dxa"/>
            <w:vAlign w:val="bottom"/>
            <w:gridSpan w:val="2"/>
          </w:tcPr>
          <w:p>
            <w:pPr>
              <w:ind w:left="500"/>
              <w:spacing w:after="0"/>
              <w:rPr>
                <w:sz w:val="20"/>
                <w:szCs w:val="20"/>
                <w:color w:val="auto"/>
              </w:rPr>
            </w:pPr>
            <w:r>
              <w:rPr>
                <w:rFonts w:ascii="Arial" w:cs="Arial" w:eastAsia="Arial" w:hAnsi="Arial"/>
                <w:sz w:val="12"/>
                <w:szCs w:val="12"/>
                <w:color w:val="000034"/>
                <w:w w:val="92"/>
              </w:rPr>
              <w:t>FY 2026</w:t>
            </w:r>
          </w:p>
        </w:tc>
      </w:tr>
      <w:tr>
        <w:trPr>
          <w:trHeight w:val="219"/>
        </w:trPr>
        <w:tc>
          <w:tcPr>
            <w:tcW w:w="100" w:type="dxa"/>
            <w:vAlign w:val="bottom"/>
          </w:tcPr>
          <w:p>
            <w:pPr>
              <w:spacing w:after="0"/>
              <w:rPr>
                <w:sz w:val="20"/>
                <w:szCs w:val="20"/>
                <w:color w:val="auto"/>
              </w:rPr>
            </w:pPr>
            <w:r>
              <w:rPr>
                <w:rFonts w:ascii="Arial" w:cs="Arial" w:eastAsia="Arial" w:hAnsi="Arial"/>
                <w:sz w:val="12"/>
                <w:szCs w:val="12"/>
                <w:color w:val="000034"/>
              </w:rPr>
              <w:t>$</w:t>
            </w: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5.34</w:t>
            </w:r>
          </w:p>
        </w:tc>
        <w:tc>
          <w:tcPr>
            <w:tcW w:w="600" w:type="dxa"/>
            <w:vAlign w:val="bottom"/>
          </w:tcPr>
          <w:p>
            <w:pPr>
              <w:ind w:left="480"/>
              <w:spacing w:after="0"/>
              <w:rPr>
                <w:sz w:val="20"/>
                <w:szCs w:val="20"/>
                <w:color w:val="auto"/>
              </w:rPr>
            </w:pPr>
            <w:r>
              <w:rPr>
                <w:rFonts w:ascii="Arial" w:cs="Arial" w:eastAsia="Arial" w:hAnsi="Arial"/>
                <w:sz w:val="12"/>
                <w:szCs w:val="12"/>
                <w:color w:val="000034"/>
              </w:rPr>
              <w:t>$</w:t>
            </w: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7.38</w:t>
            </w:r>
          </w:p>
        </w:tc>
        <w:tc>
          <w:tcPr>
            <w:tcW w:w="600" w:type="dxa"/>
            <w:vAlign w:val="bottom"/>
          </w:tcPr>
          <w:p>
            <w:pPr>
              <w:ind w:left="500"/>
              <w:spacing w:after="0"/>
              <w:rPr>
                <w:sz w:val="20"/>
                <w:szCs w:val="20"/>
                <w:color w:val="auto"/>
              </w:rPr>
            </w:pPr>
            <w:r>
              <w:rPr>
                <w:rFonts w:ascii="Arial" w:cs="Arial" w:eastAsia="Arial" w:hAnsi="Arial"/>
                <w:sz w:val="12"/>
                <w:szCs w:val="12"/>
                <w:color w:val="000034"/>
              </w:rPr>
              <w:t>$</w:t>
            </w: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8.71</w:t>
            </w:r>
          </w:p>
        </w:tc>
        <w:tc>
          <w:tcPr>
            <w:tcW w:w="600" w:type="dxa"/>
            <w:vAlign w:val="bottom"/>
          </w:tcPr>
          <w:p>
            <w:pPr>
              <w:ind w:left="500"/>
              <w:spacing w:after="0"/>
              <w:rPr>
                <w:sz w:val="20"/>
                <w:szCs w:val="20"/>
                <w:color w:val="auto"/>
              </w:rPr>
            </w:pPr>
            <w:r>
              <w:rPr>
                <w:rFonts w:ascii="Arial" w:cs="Arial" w:eastAsia="Arial" w:hAnsi="Arial"/>
                <w:sz w:val="12"/>
                <w:szCs w:val="12"/>
                <w:color w:val="000034"/>
              </w:rPr>
              <w:t>$</w:t>
            </w:r>
          </w:p>
        </w:tc>
        <w:tc>
          <w:tcPr>
            <w:tcW w:w="340" w:type="dxa"/>
            <w:vAlign w:val="bottom"/>
          </w:tcPr>
          <w:p>
            <w:pPr>
              <w:jc w:val="right"/>
              <w:spacing w:after="0"/>
              <w:rPr>
                <w:sz w:val="20"/>
                <w:szCs w:val="20"/>
                <w:color w:val="auto"/>
              </w:rPr>
            </w:pPr>
            <w:r>
              <w:rPr>
                <w:rFonts w:ascii="Arial" w:cs="Arial" w:eastAsia="Arial" w:hAnsi="Arial"/>
                <w:sz w:val="12"/>
                <w:szCs w:val="12"/>
                <w:color w:val="000034"/>
              </w:rPr>
              <w:t>8.95</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0.44</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0.37</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0.31</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0.97</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0.87</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0.97</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1.05</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1.03</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0.25</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0.03</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w:t>
            </w:r>
          </w:p>
        </w:tc>
      </w:tr>
      <w:tr>
        <w:trPr>
          <w:trHeight w:val="140"/>
        </w:trPr>
        <w:tc>
          <w:tcPr>
            <w:tcW w:w="100" w:type="dxa"/>
            <w:vAlign w:val="bottom"/>
          </w:tcPr>
          <w:p>
            <w:pPr>
              <w:spacing w:after="0"/>
              <w:rPr>
                <w:sz w:val="12"/>
                <w:szCs w:val="12"/>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(0.30)</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(0.32)</w:t>
            </w:r>
          </w:p>
        </w:tc>
        <w:tc>
          <w:tcPr>
            <w:tcW w:w="60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(0.32)</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(0.51)</w:t>
            </w:r>
          </w:p>
        </w:tc>
      </w:tr>
      <w:tr>
        <w:trPr>
          <w:trHeight w:val="159"/>
        </w:trPr>
        <w:tc>
          <w:tcPr>
            <w:tcW w:w="100" w:type="dxa"/>
            <w:vAlign w:val="bottom"/>
          </w:tcPr>
          <w:p>
            <w:pPr>
              <w:spacing w:after="0"/>
              <w:rPr>
                <w:sz w:val="13"/>
                <w:szCs w:val="13"/>
                <w:color w:val="auto"/>
              </w:rPr>
            </w:pP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(0.17)</w:t>
            </w:r>
          </w:p>
        </w:tc>
        <w:tc>
          <w:tcPr>
            <w:tcW w:w="600" w:type="dxa"/>
            <w:vAlign w:val="bottom"/>
          </w:tcPr>
          <w:p>
            <w:pPr>
              <w:spacing w:after="0"/>
              <w:rPr>
                <w:sz w:val="13"/>
                <w:szCs w:val="13"/>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(0.27)</w:t>
            </w:r>
          </w:p>
        </w:tc>
        <w:tc>
          <w:tcPr>
            <w:tcW w:w="600" w:type="dxa"/>
            <w:vAlign w:val="bottom"/>
          </w:tcPr>
          <w:p>
            <w:pPr>
              <w:spacing w:after="0"/>
              <w:rPr>
                <w:sz w:val="13"/>
                <w:szCs w:val="13"/>
                <w:color w:val="auto"/>
              </w:rPr>
            </w:pP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(0.39)</w:t>
            </w:r>
          </w:p>
        </w:tc>
        <w:tc>
          <w:tcPr>
            <w:tcW w:w="6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000034"/>
              </w:rPr>
              <w:t>(0.34)</w:t>
            </w:r>
          </w:p>
        </w:tc>
      </w:tr>
      <w:tr>
        <w:trPr>
          <w:trHeight w:val="205"/>
        </w:trPr>
        <w:tc>
          <w:tcPr>
            <w:tcW w:w="100" w:type="dxa"/>
            <w:vAlign w:val="bottom"/>
          </w:tcPr>
          <w:p>
            <w:pPr>
              <w:spacing w:after="0"/>
              <w:rPr>
                <w:sz w:val="20"/>
                <w:szCs w:val="20"/>
                <w:color w:val="auto"/>
              </w:rPr>
            </w:pPr>
            <w:r>
              <w:rPr>
                <w:rFonts w:ascii="Arial" w:cs="Arial" w:eastAsia="Arial" w:hAnsi="Arial"/>
                <w:sz w:val="12"/>
                <w:szCs w:val="12"/>
                <w:color w:val="000034"/>
              </w:rPr>
              <w:t>$</w:t>
            </w:r>
          </w:p>
        </w:tc>
        <w:tc>
          <w:tcPr>
            <w:tcW w:w="840" w:type="dxa"/>
            <w:vAlign w:val="bottom"/>
          </w:tcPr>
          <w:p>
            <w:pPr>
              <w:jc w:val="right"/>
              <w:ind w:right="440"/>
              <w:spacing w:after="0"/>
              <w:rPr>
                <w:sz w:val="20"/>
                <w:szCs w:val="20"/>
                <w:color w:val="auto"/>
              </w:rPr>
            </w:pPr>
            <w:r>
              <w:rPr>
                <w:rFonts w:ascii="Arial" w:cs="Arial" w:eastAsia="Arial" w:hAnsi="Arial"/>
                <w:sz w:val="12"/>
                <w:szCs w:val="12"/>
                <w:color w:val="000034"/>
              </w:rPr>
              <w:t>6.21</w:t>
            </w:r>
          </w:p>
        </w:tc>
        <w:tc>
          <w:tcPr>
            <w:tcW w:w="600" w:type="dxa"/>
            <w:vAlign w:val="bottom"/>
          </w:tcPr>
          <w:p>
            <w:pPr>
              <w:ind w:left="480"/>
              <w:spacing w:after="0"/>
              <w:rPr>
                <w:sz w:val="20"/>
                <w:szCs w:val="20"/>
                <w:color w:val="auto"/>
              </w:rPr>
            </w:pPr>
            <w:r>
              <w:rPr>
                <w:rFonts w:ascii="Arial" w:cs="Arial" w:eastAsia="Arial" w:hAnsi="Arial"/>
                <w:sz w:val="12"/>
                <w:szCs w:val="12"/>
                <w:color w:val="000034"/>
              </w:rPr>
              <w:t>$</w:t>
            </w: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8.13</w:t>
            </w:r>
          </w:p>
        </w:tc>
        <w:tc>
          <w:tcPr>
            <w:tcW w:w="600" w:type="dxa"/>
            <w:vAlign w:val="bottom"/>
          </w:tcPr>
          <w:p>
            <w:pPr>
              <w:ind w:left="500"/>
              <w:spacing w:after="0"/>
              <w:rPr>
                <w:sz w:val="20"/>
                <w:szCs w:val="20"/>
                <w:color w:val="auto"/>
              </w:rPr>
            </w:pPr>
            <w:r>
              <w:rPr>
                <w:rFonts w:ascii="Arial" w:cs="Arial" w:eastAsia="Arial" w:hAnsi="Arial"/>
                <w:sz w:val="12"/>
                <w:szCs w:val="12"/>
                <w:color w:val="000034"/>
              </w:rPr>
              <w:t>$</w:t>
            </w:r>
          </w:p>
        </w:tc>
        <w:tc>
          <w:tcPr>
            <w:tcW w:w="820" w:type="dxa"/>
            <w:vAlign w:val="bottom"/>
          </w:tcPr>
          <w:p>
            <w:pPr>
              <w:jc w:val="right"/>
              <w:ind w:right="420"/>
              <w:spacing w:after="0"/>
              <w:rPr>
                <w:sz w:val="20"/>
                <w:szCs w:val="20"/>
                <w:color w:val="auto"/>
              </w:rPr>
            </w:pPr>
            <w:r>
              <w:rPr>
                <w:rFonts w:ascii="Arial" w:cs="Arial" w:eastAsia="Arial" w:hAnsi="Arial"/>
                <w:sz w:val="12"/>
                <w:szCs w:val="12"/>
                <w:color w:val="000034"/>
              </w:rPr>
              <w:t>9.36</w:t>
            </w:r>
          </w:p>
        </w:tc>
        <w:tc>
          <w:tcPr>
            <w:tcW w:w="600" w:type="dxa"/>
            <w:vAlign w:val="bottom"/>
          </w:tcPr>
          <w:p>
            <w:pPr>
              <w:ind w:left="500"/>
              <w:spacing w:after="0"/>
              <w:rPr>
                <w:sz w:val="20"/>
                <w:szCs w:val="20"/>
                <w:color w:val="auto"/>
              </w:rPr>
            </w:pPr>
            <w:r>
              <w:rPr>
                <w:rFonts w:ascii="Arial" w:cs="Arial" w:eastAsia="Arial" w:hAnsi="Arial"/>
                <w:sz w:val="12"/>
                <w:szCs w:val="12"/>
                <w:color w:val="000034"/>
              </w:rPr>
              <w:t>$</w:t>
            </w:r>
          </w:p>
        </w:tc>
        <w:tc>
          <w:tcPr>
            <w:tcW w:w="340" w:type="dxa"/>
            <w:vAlign w:val="bottom"/>
          </w:tcPr>
          <w:p>
            <w:pPr>
              <w:jc w:val="right"/>
              <w:spacing w:after="0"/>
              <w:rPr>
                <w:sz w:val="20"/>
                <w:szCs w:val="20"/>
                <w:color w:val="auto"/>
              </w:rPr>
            </w:pPr>
            <w:r>
              <w:rPr>
                <w:rFonts w:ascii="Arial" w:cs="Arial" w:eastAsia="Arial" w:hAnsi="Arial"/>
                <w:sz w:val="12"/>
                <w:szCs w:val="12"/>
                <w:color w:val="000034"/>
              </w:rPr>
              <w:t>10.35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-3784600</wp:posOffset>
                </wp:positionH>
                <wp:positionV relativeFrom="paragraph">
                  <wp:posOffset>80010</wp:posOffset>
                </wp:positionV>
                <wp:extent cx="7543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4763"/>
                        </a:xfrm>
                        <a:prstGeom prst="line">
                          <a:avLst/>
                        </a:prstGeom>
                        <a:solidFill>
                          <a:srgbClr val="FFFFFF"/>
                        </a:solidFill>
                        <a:ln w="6350">
                          <a:solidFill>
                            <a:srgbClr val="000034"/>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6.3pt" to="296pt,6.3pt" o:allowincell="f" strokecolor="#000034" strokeweight="0.5pt"/>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46990</wp:posOffset>
                </wp:positionV>
                <wp:extent cx="7543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4763"/>
                        </a:xfrm>
                        <a:prstGeom prst="line">
                          <a:avLst/>
                        </a:prstGeom>
                        <a:solidFill>
                          <a:srgbClr val="FFFFFF"/>
                        </a:solidFill>
                        <a:ln w="6350">
                          <a:solidFill>
                            <a:srgbClr val="000034"/>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3.7pt" to="296pt,3.7pt" o:allowincell="f" strokecolor="#000034" strokeweight="0.5pt"/>
            </w:pict>
          </mc:Fallback>
        </mc:AlternateContent>
        <mc:AlternateContent>
          <mc:Choice Requires="wps">
            <w:drawing>
              <wp:anchor simplePos="0" relativeHeight="251657728" behindDoc="1" locked="0" layoutInCell="0" allowOverlap="1">
                <wp:simplePos x="0" y="0"/>
                <wp:positionH relativeFrom="column">
                  <wp:posOffset>-3181350</wp:posOffset>
                </wp:positionH>
                <wp:positionV relativeFrom="paragraph">
                  <wp:posOffset>-863600</wp:posOffset>
                </wp:positionV>
                <wp:extent cx="63461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6190" cy="4763"/>
                        </a:xfrm>
                        <a:prstGeom prst="line">
                          <a:avLst/>
                        </a:prstGeom>
                        <a:solidFill>
                          <a:srgbClr val="FFFFFF"/>
                        </a:solidFill>
                        <a:ln w="4445">
                          <a:solidFill>
                            <a:srgbClr val="2B4272"/>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4999pt,-68pt" to="249.2pt,-68pt" o:allowincell="f" strokecolor="#2B4272" strokeweight="0.35pt"/>
            </w:pict>
          </mc:Fallback>
        </mc:AlternateContent>
        <mc:AlternateContent>
          <mc:Choice Requires="wps">
            <w:drawing>
              <wp:anchor simplePos="0" relativeHeight="251657728" behindDoc="1" locked="0" layoutInCell="0" allowOverlap="1">
                <wp:simplePos x="0" y="0"/>
                <wp:positionH relativeFrom="column">
                  <wp:posOffset>-3180715</wp:posOffset>
                </wp:positionH>
                <wp:positionV relativeFrom="paragraph">
                  <wp:posOffset>-109220</wp:posOffset>
                </wp:positionV>
                <wp:extent cx="634555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5555" cy="4763"/>
                        </a:xfrm>
                        <a:prstGeom prst="line">
                          <a:avLst/>
                        </a:prstGeom>
                        <a:solidFill>
                          <a:srgbClr val="FFFFFF"/>
                        </a:solidFill>
                        <a:ln w="4445">
                          <a:solidFill>
                            <a:srgbClr val="2B4272"/>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4499pt,-8.5999pt" to="249.2pt,-8.5999pt" o:allowincell="f" strokecolor="#2B4272" strokeweight="0.35pt"/>
            </w:pict>
          </mc:Fallback>
        </mc:AlternateContent>
      </w:r>
    </w:p>
    <w:p>
      <w:pPr>
        <w:sectPr>
          <w:pgSz w:w="11880" w:h="15480" w:orient="portrait"/>
          <w:cols w:equalWidth="0" w:num="2">
            <w:col w:w="4320" w:space="720"/>
            <w:col w:w="4980"/>
          </w:cols>
          <w:pgMar w:left="920" w:top="811" w:right="940" w:bottom="465" w:gutter="0" w:footer="0" w:header="0"/>
          <w:type w:val="continuous"/>
        </w:sectPr>
      </w:pPr>
    </w:p>
    <w:bookmarkStart w:id="2" w:name="page3"/>
    <w:bookmarkEnd w:id="2"/>
    <w:tbl>
      <w:tblPr>
        <w:tblLayout w:type="fixed"/>
        <w:tblInd w:w="746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Arial" w:cs="Arial" w:eastAsia="Arial" w:hAnsi="Arial"/>
                <w:sz w:val="14"/>
                <w:szCs w:val="14"/>
                <w:color w:val="000034"/>
                <w:w w:val="80"/>
              </w:rPr>
              <w:t>OSI SYSTEMS, INC. | 2026 ANNUAL REPORT</w:t>
            </w:r>
          </w:p>
        </w:tc>
        <w:tc>
          <w:tcPr>
            <w:tcW w:w="180" w:type="dxa"/>
            <w:vAlign w:val="bottom"/>
          </w:tcPr>
          <w:p>
            <w:pPr>
              <w:jc w:val="right"/>
              <w:spacing w:after="0"/>
              <w:rPr>
                <w:sz w:val="20"/>
                <w:szCs w:val="20"/>
                <w:color w:val="auto"/>
              </w:rPr>
            </w:pPr>
            <w:r>
              <w:rPr>
                <w:rFonts w:ascii="Arial" w:cs="Arial" w:eastAsia="Arial" w:hAnsi="Arial"/>
                <w:sz w:val="14"/>
                <w:szCs w:val="14"/>
                <w:color w:val="000034"/>
              </w:rPr>
              <w:t>1</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54"/>
          <w:szCs w:val="54"/>
          <w:color w:val="3E89C0"/>
        </w:rPr>
        <w:t>DEAR STOCKHOLDERS</w:t>
      </w:r>
    </w:p>
    <w:p>
      <w:pPr>
        <w:sectPr>
          <w:pgSz w:w="11880" w:h="15480" w:orient="portrait"/>
          <w:cols w:equalWidth="0" w:num="1">
            <w:col w:w="10040"/>
          </w:cols>
          <w:pgMar w:left="900" w:top="401" w:right="940" w:bottom="551" w:gutter="0" w:footer="0" w:header="0"/>
        </w:sectPr>
      </w:pPr>
    </w:p>
    <w:p>
      <w:pPr>
        <w:spacing w:after="0" w:line="200" w:lineRule="exact"/>
        <w:rPr>
          <w:sz w:val="20"/>
          <w:szCs w:val="20"/>
          <w:color w:val="auto"/>
        </w:rPr>
      </w:pPr>
    </w:p>
    <w:p>
      <w:pPr>
        <w:spacing w:after="0" w:line="293" w:lineRule="exact"/>
        <w:rPr>
          <w:sz w:val="20"/>
          <w:szCs w:val="20"/>
          <w:color w:val="auto"/>
        </w:rPr>
      </w:pPr>
    </w:p>
    <w:p>
      <w:pPr>
        <w:ind w:left="40" w:right="100"/>
        <w:spacing w:after="0" w:line="305" w:lineRule="auto"/>
        <w:rPr>
          <w:sz w:val="20"/>
          <w:szCs w:val="20"/>
          <w:color w:val="auto"/>
        </w:rPr>
      </w:pPr>
      <w:r>
        <w:rPr>
          <w:rFonts w:ascii="Arial" w:cs="Arial" w:eastAsia="Arial" w:hAnsi="Arial"/>
          <w:sz w:val="17"/>
          <w:szCs w:val="17"/>
          <w:color w:val="auto"/>
        </w:rPr>
        <w:t>Fiscal 2026 was a strong year for OSI Systems, and I am proud of the progress our teams made. We delivered record revenues, non-GAAP earnings per share, and operating cash flow. Beyond those results, what stands out to me is how we are deepening customer relationships while expanding the capabilities that will support our next phase of growth.</w:t>
      </w:r>
    </w:p>
    <w:p>
      <w:pPr>
        <w:spacing w:after="0" w:line="129" w:lineRule="exact"/>
        <w:rPr>
          <w:sz w:val="20"/>
          <w:szCs w:val="20"/>
          <w:color w:val="auto"/>
        </w:rPr>
      </w:pPr>
    </w:p>
    <w:p>
      <w:pPr>
        <w:ind w:left="40"/>
        <w:spacing w:after="0" w:line="283" w:lineRule="auto"/>
        <w:rPr>
          <w:sz w:val="20"/>
          <w:szCs w:val="20"/>
          <w:color w:val="auto"/>
        </w:rPr>
      </w:pPr>
      <w:r>
        <w:rPr>
          <w:rFonts w:ascii="Arial" w:cs="Arial" w:eastAsia="Arial" w:hAnsi="Arial"/>
          <w:sz w:val="18"/>
          <w:szCs w:val="18"/>
          <w:color w:val="auto"/>
        </w:rPr>
        <w:t>The year also demonstrated the strength and resilience of our business. While we saw certain delayed Security deliveries in the Middle East and a federal government shutdown that affected DHS order and project timing, our teams responded with agility and maintained strong customer engagement. Importantly, these delays reflected timing rather than demand, and we remain well positioned to capitalize on the opportunities ahead.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closed the year with a record backlog of approximately</w:t>
      </w:r>
    </w:p>
    <w:p>
      <w:pPr>
        <w:spacing w:after="0" w:line="33" w:lineRule="exact"/>
        <w:rPr>
          <w:sz w:val="20"/>
          <w:szCs w:val="20"/>
          <w:color w:val="auto"/>
        </w:rPr>
      </w:pPr>
    </w:p>
    <w:p>
      <w:pPr>
        <w:ind w:left="40"/>
        <w:spacing w:after="0" w:line="296" w:lineRule="auto"/>
        <w:rPr>
          <w:sz w:val="20"/>
          <w:szCs w:val="20"/>
          <w:color w:val="auto"/>
        </w:rPr>
      </w:pPr>
      <w:r>
        <w:rPr>
          <w:rFonts w:ascii="Arial" w:cs="Arial" w:eastAsia="Arial" w:hAnsi="Arial"/>
          <w:sz w:val="18"/>
          <w:szCs w:val="18"/>
          <w:color w:val="auto"/>
        </w:rPr>
        <w:t>$1.9 billion. That gives us good visibility, but it also reminds us that earning an order is only the beginning; delivering on our commitments is what sustains customer trust.</w:t>
      </w:r>
    </w:p>
    <w:p>
      <w:pPr>
        <w:spacing w:after="0" w:line="134" w:lineRule="exact"/>
        <w:rPr>
          <w:sz w:val="20"/>
          <w:szCs w:val="20"/>
          <w:color w:val="auto"/>
        </w:rPr>
      </w:pPr>
    </w:p>
    <w:p>
      <w:pPr>
        <w:ind w:left="40" w:right="60"/>
        <w:spacing w:after="0" w:line="281" w:lineRule="auto"/>
        <w:rPr>
          <w:sz w:val="20"/>
          <w:szCs w:val="20"/>
          <w:color w:val="auto"/>
        </w:rPr>
      </w:pPr>
      <w:r>
        <w:rPr>
          <w:rFonts w:ascii="Arial" w:cs="Arial" w:eastAsia="Arial" w:hAnsi="Arial"/>
          <w:sz w:val="18"/>
          <w:szCs w:val="18"/>
          <w:color w:val="auto"/>
        </w:rPr>
        <w:t>In Security, that trust increasingly extends well beyond the initial installation. Customers rely on us for system integration, maintenance, training, and ongoing support. As major deployments, including our Mexico program, move from hardware delivery into long-term service, we have an opportunity to build more durable relationships and recurring revenues. Our CertScan</w:t>
      </w:r>
      <w:r>
        <w:rPr>
          <w:rFonts w:ascii="Arial" w:cs="Arial" w:eastAsia="Arial" w:hAnsi="Arial"/>
          <w:sz w:val="10"/>
          <w:szCs w:val="10"/>
          <w:color w:val="auto"/>
        </w:rPr>
        <w:t>®</w:t>
      </w:r>
      <w:r>
        <w:rPr>
          <w:rFonts w:ascii="Arial" w:cs="Arial" w:eastAsia="Arial" w:hAnsi="Arial"/>
          <w:sz w:val="18"/>
          <w:szCs w:val="18"/>
          <w:color w:val="auto"/>
        </w:rPr>
        <w:t xml:space="preserve"> software brings another dimension to that effort, helping customers integrate inspection equipment and information across their operations. Growing service and software revenues remains a priority, and our installed base positions us for substantial service revenue growth in fiscal 2027.</w:t>
      </w:r>
    </w:p>
    <w:p>
      <w:pPr>
        <w:spacing w:after="0" w:line="153" w:lineRule="exact"/>
        <w:rPr>
          <w:sz w:val="20"/>
          <w:szCs w:val="20"/>
          <w:color w:val="auto"/>
        </w:rPr>
      </w:pPr>
    </w:p>
    <w:p>
      <w:pPr>
        <w:ind w:left="40" w:right="140"/>
        <w:spacing w:after="0" w:line="294" w:lineRule="auto"/>
        <w:rPr>
          <w:sz w:val="20"/>
          <w:szCs w:val="20"/>
          <w:color w:val="auto"/>
        </w:rPr>
      </w:pPr>
      <w:r>
        <w:rPr>
          <w:rFonts w:ascii="Arial" w:cs="Arial" w:eastAsia="Arial" w:hAnsi="Arial"/>
          <w:sz w:val="17"/>
          <w:szCs w:val="17"/>
          <w:color w:val="auto"/>
        </w:rPr>
        <w:t>Our critical radio frequency (RF) solutions business illustrates how expanding our capabilities can open important new opportunities. Fiscal 2026 was an outstanding year for</w:t>
      </w:r>
    </w:p>
    <w:p>
      <w:pPr>
        <w:spacing w:after="0" w:line="1" w:lineRule="exact"/>
        <w:rPr>
          <w:sz w:val="20"/>
          <w:szCs w:val="20"/>
          <w:color w:val="auto"/>
        </w:rPr>
      </w:pPr>
    </w:p>
    <w:p>
      <w:pPr>
        <w:ind w:left="40" w:right="20"/>
        <w:spacing w:after="0" w:line="312" w:lineRule="auto"/>
        <w:rPr>
          <w:sz w:val="20"/>
          <w:szCs w:val="20"/>
          <w:color w:val="auto"/>
        </w:rPr>
      </w:pPr>
      <w:r>
        <w:rPr>
          <w:rFonts w:ascii="Arial" w:cs="Arial" w:eastAsia="Arial" w:hAnsi="Arial"/>
          <w:sz w:val="17"/>
          <w:szCs w:val="17"/>
          <w:color w:val="auto"/>
        </w:rPr>
        <w:t>this business, including our largest RF award to date for a homeland defense over-the-horizon radar transmit subsystem. Customer engagement across the RF portfolio is the highest we have seen, and we intend to build on that foundation.</w:t>
      </w:r>
    </w:p>
    <w:p>
      <w:pPr>
        <w:spacing w:after="0" w:line="123" w:lineRule="exact"/>
        <w:rPr>
          <w:sz w:val="20"/>
          <w:szCs w:val="20"/>
          <w:color w:val="auto"/>
        </w:rPr>
      </w:pPr>
    </w:p>
    <w:p>
      <w:pPr>
        <w:ind w:left="40" w:right="80"/>
        <w:spacing w:after="0" w:line="307" w:lineRule="auto"/>
        <w:rPr>
          <w:sz w:val="20"/>
          <w:szCs w:val="20"/>
          <w:color w:val="auto"/>
        </w:rPr>
      </w:pPr>
      <w:r>
        <w:rPr>
          <w:rFonts w:ascii="Arial" w:cs="Arial" w:eastAsia="Arial" w:hAnsi="Arial"/>
          <w:sz w:val="17"/>
          <w:szCs w:val="17"/>
          <w:color w:val="auto"/>
        </w:rPr>
        <w:t>Optoelectronics and Manufacturing delivered another strong year. Its success reflects a model we have built over time: engineered products, precision manufacturing, vertical integration, and a global footprint. As customers diversify their supply chains, our teams can offer both technical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both"/>
        <w:ind w:right="160"/>
        <w:spacing w:after="0" w:line="336" w:lineRule="auto"/>
        <w:rPr>
          <w:sz w:val="20"/>
          <w:szCs w:val="20"/>
          <w:color w:val="auto"/>
        </w:rPr>
      </w:pPr>
      <w:r>
        <w:rPr>
          <w:rFonts w:ascii="Arial" w:cs="Arial" w:eastAsia="Arial" w:hAnsi="Arial"/>
          <w:sz w:val="16"/>
          <w:szCs w:val="16"/>
          <w:color w:val="auto"/>
        </w:rPr>
        <w:t>and greater geographic flexibility. Across aerospace, defense, healthcare, and industrial markets, we are helping customers address complex requirements. The breadth of bookings and strong margins reinforce my confidence in this business.</w:t>
      </w:r>
    </w:p>
    <w:p>
      <w:pPr>
        <w:spacing w:after="0" w:line="109"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Healthcare continued to make progress on its strategic priorities during the year. We remain focused on expanding our installed base and supporting providers with innovative clinical solutions. Advancing our next-generation patient monitoring platform is especially important to our future.</w:t>
      </w:r>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Looking ahead, I see compelling opportunities across our businesses. In Security, our broad range of inspection technologies, integration capabilities, and global service network positions us well to support evolving customer needs. In Optoelectronics and Manufacturing, we continue to strengthen our position in selected market segments through our engineering expertise and global capabilities.</w:t>
      </w:r>
    </w:p>
    <w:p>
      <w:pPr>
        <w:spacing w:after="0" w:line="145"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As we enter fiscal 2027, I see a diversified company with a record backlog, a robust pipeline, and the financial strength to invest thoughtfully. Our record cash generation is particularly important: it supports the innovation and capabilities we need for long-term growth. We will keep our focus on disciplined execution, growing recurring revenues, and turning customer opportunities into lasting relationships.</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I want to thank our employees for the talent, resilience, and commitment they bring to work every day. To our customers and partners, thank you for trusting us with important challenges. And to our stockholders, thank you for your continued support. I am excited about the future and what we can build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741045</wp:posOffset>
            </wp:positionV>
            <wp:extent cx="3108960" cy="130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extLst>
                    </a:blip>
                    <a:srcRect/>
                    <a:stretch>
                      <a:fillRect/>
                    </a:stretch>
                  </pic:blipFill>
                  <pic:spPr bwMode="auto">
                    <a:xfrm>
                      <a:off x="0" y="0"/>
                      <a:ext cx="3108960"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0034"/>
        </w:rPr>
        <w:t>AJAY MEHRA</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-3910965</wp:posOffset>
                </wp:positionH>
                <wp:positionV relativeFrom="paragraph">
                  <wp:posOffset>453390</wp:posOffset>
                </wp:positionV>
                <wp:extent cx="7543165" cy="101092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1010920"/>
                        </a:xfrm>
                        <a:prstGeom prst="rect">
                          <a:avLst/>
                        </a:prstGeom>
                        <a:solidFill>
                          <a:srgbClr val="000034"/>
                        </a:solidFill>
                      </wps:spPr>
                      <wps:bodyPr/>
                    </wps:wsp>
                  </a:graphicData>
                </a:graphic>
              </wp:anchor>
            </w:drawing>
          </mc:Choice>
          <mc:Fallback>
            <w:pict>
              <v:rect id="Shape 23" o:spid="_x0000_s1048" style="position:absolute;margin-left:-307.9499pt;margin-top:35.7pt;width:593.95pt;height:7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4" stroked="f"/>
            </w:pict>
          </mc:Fallback>
        </mc:AlternateContent>
      </w:r>
    </w:p>
    <w:p>
      <w:pPr>
        <w:spacing w:after="0" w:line="655" w:lineRule="exact"/>
        <w:rPr>
          <w:sz w:val="20"/>
          <w:szCs w:val="20"/>
          <w:color w:val="auto"/>
        </w:rPr>
      </w:pPr>
    </w:p>
    <w:p>
      <w:pPr>
        <w:sectPr>
          <w:pgSz w:w="11880" w:h="15480" w:orient="portrait"/>
          <w:cols w:equalWidth="0" w:num="2">
            <w:col w:w="4800" w:space="460"/>
            <w:col w:w="4780"/>
          </w:cols>
          <w:pgMar w:left="900" w:top="401" w:right="940" w:bottom="551" w:gutter="0" w:footer="0" w:header="0"/>
          <w:type w:val="continuous"/>
        </w:sectPr>
      </w:pPr>
    </w:p>
    <w:p>
      <w:pPr>
        <w:spacing w:after="0" w:line="319" w:lineRule="exact"/>
        <w:rPr>
          <w:sz w:val="20"/>
          <w:szCs w:val="20"/>
          <w:color w:val="auto"/>
        </w:rPr>
      </w:pPr>
    </w:p>
    <w:p>
      <w:pPr>
        <w:ind w:left="40" w:right="620"/>
        <w:spacing w:after="0" w:line="310" w:lineRule="auto"/>
        <w:rPr>
          <w:sz w:val="20"/>
          <w:szCs w:val="20"/>
          <w:color w:val="auto"/>
        </w:rPr>
      </w:pPr>
      <w:r>
        <w:rPr>
          <w:rFonts w:ascii="Arial" w:cs="Arial" w:eastAsia="Arial" w:hAnsi="Arial"/>
          <w:sz w:val="20"/>
          <w:szCs w:val="20"/>
          <w:b w:val="1"/>
          <w:bCs w:val="1"/>
          <w:color w:val="FFFFFF"/>
        </w:rPr>
        <w:t>FISCAL 2026 WAS A STRONG YEAR FOR OSI SYSTEMS, AND I AM PROUD OF THE PROGRESS OUR TEAMS MADE. WE DELIVERED RECORD REVENUES, NON-GAAP EARNINGS PER SHARE AND OPERATING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-571500</wp:posOffset>
                </wp:positionH>
                <wp:positionV relativeFrom="paragraph">
                  <wp:posOffset>133985</wp:posOffset>
                </wp:positionV>
                <wp:extent cx="1371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3E89C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10.55pt" to="63pt,10.55pt" o:allowincell="f" strokecolor="#3E89C0" strokeweight="0.5pt"/>
            </w:pict>
          </mc:Fallback>
        </mc:AlternateContent>
      </w:r>
    </w:p>
    <w:p>
      <w:pPr>
        <w:sectPr>
          <w:pgSz w:w="11880" w:h="15480" w:orient="portrait"/>
          <w:cols w:equalWidth="0" w:num="1">
            <w:col w:w="10040"/>
          </w:cols>
          <w:pgMar w:left="900" w:top="401" w:right="940" w:bottom="551" w:gutter="0" w:footer="0" w:header="0"/>
          <w:type w:val="continuous"/>
        </w:sectPr>
      </w:pPr>
    </w:p>
    <w:bookmarkStart w:id="3" w:name="page4"/>
    <w:bookmarkEnd w:id="3"/>
    <w:p>
      <w:pPr>
        <w:ind w:left="324" w:hanging="324"/>
        <w:spacing w:after="0"/>
        <w:tabs>
          <w:tab w:leader="none" w:pos="324" w:val="left"/>
        </w:tabs>
        <w:numPr>
          <w:ilvl w:val="0"/>
          <w:numId w:val="2"/>
        </w:numPr>
        <w:rPr>
          <w:rFonts w:ascii="Arial" w:cs="Arial" w:eastAsia="Arial" w:hAnsi="Arial"/>
          <w:sz w:val="14"/>
          <w:szCs w:val="14"/>
          <w:color w:val="000034"/>
        </w:rPr>
      </w:pPr>
      <w:r>
        <w:rPr>
          <w:rFonts w:ascii="Arial" w:cs="Arial" w:eastAsia="Arial" w:hAnsi="Arial"/>
          <w:sz w:val="14"/>
          <w:szCs w:val="14"/>
          <w:color w:val="000034"/>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OSI SYSTEMS, INC. | 2026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H O L D B AGG AG E S C R E E N I N G</w:t>
      </w:r>
    </w:p>
    <w:p>
      <w:pPr>
        <w:spacing w:after="0" w:line="200" w:lineRule="exact"/>
        <w:rPr>
          <w:sz w:val="20"/>
          <w:szCs w:val="20"/>
          <w:color w:val="auto"/>
        </w:rPr>
      </w:pPr>
    </w:p>
    <w:p>
      <w:pPr>
        <w:spacing w:after="0" w:line="237" w:lineRule="exact"/>
        <w:rPr>
          <w:sz w:val="20"/>
          <w:szCs w:val="20"/>
          <w:color w:val="auto"/>
        </w:rPr>
      </w:pPr>
    </w:p>
    <w:p>
      <w:pPr>
        <w:ind w:left="4784"/>
        <w:spacing w:after="0"/>
        <w:rPr>
          <w:sz w:val="20"/>
          <w:szCs w:val="20"/>
          <w:color w:val="auto"/>
        </w:rPr>
      </w:pPr>
      <w:r>
        <w:rPr>
          <w:rFonts w:ascii="Arial" w:cs="Arial" w:eastAsia="Arial" w:hAnsi="Arial"/>
          <w:sz w:val="20"/>
          <w:szCs w:val="20"/>
          <w:color w:val="FFFFFF"/>
        </w:rPr>
        <w:t>C A RG O A N D V E HI C L E IN S P ECT I O N</w:t>
      </w:r>
    </w:p>
    <w:p>
      <w:pPr>
        <w:spacing w:after="0" w:line="200" w:lineRule="exact"/>
        <w:rPr>
          <w:sz w:val="20"/>
          <w:szCs w:val="20"/>
          <w:color w:val="auto"/>
        </w:rPr>
      </w:pPr>
    </w:p>
    <w:p>
      <w:pPr>
        <w:spacing w:after="0" w:line="260" w:lineRule="exact"/>
        <w:rPr>
          <w:sz w:val="20"/>
          <w:szCs w:val="20"/>
          <w:color w:val="auto"/>
        </w:rPr>
      </w:pPr>
    </w:p>
    <w:p>
      <w:pPr>
        <w:ind w:left="4784"/>
        <w:spacing w:after="0"/>
        <w:rPr>
          <w:sz w:val="20"/>
          <w:szCs w:val="20"/>
          <w:color w:val="auto"/>
        </w:rPr>
      </w:pPr>
      <w:r>
        <w:rPr>
          <w:rFonts w:ascii="Arial" w:cs="Arial" w:eastAsia="Arial" w:hAnsi="Arial"/>
          <w:sz w:val="19"/>
          <w:szCs w:val="19"/>
          <w:color w:val="FFFFFF"/>
        </w:rPr>
        <w:t>B AGG AG E A N D PA R C E L I N S P ECT I O N</w:t>
      </w:r>
    </w:p>
    <w:p>
      <w:pPr>
        <w:spacing w:after="0" w:line="200" w:lineRule="exact"/>
        <w:rPr>
          <w:sz w:val="20"/>
          <w:szCs w:val="20"/>
          <w:color w:val="auto"/>
        </w:rPr>
      </w:pPr>
    </w:p>
    <w:p>
      <w:pPr>
        <w:spacing w:after="0" w:line="271"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P EO P L E S C R E E NIN G</w:t>
      </w:r>
    </w:p>
    <w:p>
      <w:pPr>
        <w:spacing w:after="0" w:line="200" w:lineRule="exact"/>
        <w:rPr>
          <w:sz w:val="20"/>
          <w:szCs w:val="20"/>
          <w:color w:val="auto"/>
        </w:rPr>
      </w:pPr>
    </w:p>
    <w:p>
      <w:pPr>
        <w:spacing w:after="0" w:line="237"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R A DI AT I O N D E T ECT I O N</w:t>
      </w:r>
    </w:p>
    <w:p>
      <w:pPr>
        <w:spacing w:after="0" w:line="200" w:lineRule="exact"/>
        <w:rPr>
          <w:sz w:val="20"/>
          <w:szCs w:val="20"/>
          <w:color w:val="auto"/>
        </w:rPr>
      </w:pPr>
    </w:p>
    <w:p>
      <w:pPr>
        <w:spacing w:after="0" w:line="237"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T R AC E D E T ECT I O N</w:t>
      </w:r>
    </w:p>
    <w:p>
      <w:pPr>
        <w:spacing w:after="0" w:line="200" w:lineRule="exact"/>
        <w:rPr>
          <w:sz w:val="20"/>
          <w:szCs w:val="20"/>
          <w:color w:val="auto"/>
        </w:rPr>
      </w:pPr>
    </w:p>
    <w:p>
      <w:pPr>
        <w:spacing w:after="0" w:line="237"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R F S O LU T I O N S</w:t>
      </w:r>
    </w:p>
    <w:p>
      <w:pPr>
        <w:spacing w:after="0" w:line="200" w:lineRule="exact"/>
        <w:rPr>
          <w:sz w:val="20"/>
          <w:szCs w:val="20"/>
          <w:color w:val="auto"/>
        </w:rPr>
      </w:pPr>
    </w:p>
    <w:p>
      <w:pPr>
        <w:spacing w:after="0" w:line="237" w:lineRule="exact"/>
        <w:rPr>
          <w:sz w:val="20"/>
          <w:szCs w:val="20"/>
          <w:color w:val="auto"/>
        </w:rPr>
      </w:pPr>
    </w:p>
    <w:p>
      <w:pPr>
        <w:ind w:left="4784"/>
        <w:spacing w:after="0"/>
        <w:rPr>
          <w:sz w:val="20"/>
          <w:szCs w:val="20"/>
          <w:color w:val="auto"/>
        </w:rPr>
      </w:pPr>
      <w:r>
        <w:rPr>
          <w:rFonts w:ascii="Arial" w:cs="Arial" w:eastAsia="Arial" w:hAnsi="Arial"/>
          <w:sz w:val="22"/>
          <w:szCs w:val="22"/>
          <w:color w:val="FFFFFF"/>
        </w:rPr>
        <w:t>O P T I C A L IN S P ECT I O N</w:t>
      </w:r>
    </w:p>
    <w:p>
      <w:pPr>
        <w:sectPr>
          <w:pgSz w:w="11880" w:h="15480" w:orient="portrait"/>
          <w:cols w:equalWidth="0" w:num="1">
            <w:col w:w="9504"/>
          </w:cols>
          <w:pgMar w:left="936" w:top="401" w:right="1440" w:bottom="934" w:gutter="0" w:footer="0" w:header="0"/>
        </w:sectPr>
      </w:pPr>
    </w:p>
    <w:bookmarkStart w:id="4" w:name="page5"/>
    <w:bookmarkEnd w:id="4"/>
    <w:tbl>
      <w:tblPr>
        <w:tblLayout w:type="fixed"/>
        <w:tblInd w:w="742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Arial" w:cs="Arial" w:eastAsia="Arial" w:hAnsi="Arial"/>
                <w:sz w:val="14"/>
                <w:szCs w:val="14"/>
                <w:color w:val="000034"/>
                <w:w w:val="80"/>
              </w:rPr>
              <w:t>OSI SYSTEMS, INC. | 2026 ANNUAL REPORT</w:t>
            </w:r>
          </w:p>
        </w:tc>
        <w:tc>
          <w:tcPr>
            <w:tcW w:w="180" w:type="dxa"/>
            <w:vAlign w:val="bottom"/>
          </w:tcPr>
          <w:p>
            <w:pPr>
              <w:jc w:val="right"/>
              <w:spacing w:after="0"/>
              <w:rPr>
                <w:sz w:val="20"/>
                <w:szCs w:val="20"/>
                <w:color w:val="auto"/>
              </w:rPr>
            </w:pPr>
            <w:r>
              <w:rPr>
                <w:rFonts w:ascii="Arial" w:cs="Arial" w:eastAsia="Arial" w:hAnsi="Arial"/>
                <w:sz w:val="14"/>
                <w:szCs w:val="14"/>
                <w:color w:val="000034"/>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801235" cy="301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extLst>
                    </a:blip>
                    <a:srcRect/>
                    <a:stretch>
                      <a:fillRect/>
                    </a:stretch>
                  </pic:blipFill>
                  <pic:spPr bwMode="auto">
                    <a:xfrm>
                      <a:off x="0" y="0"/>
                      <a:ext cx="4801235" cy="301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54"/>
          <w:szCs w:val="54"/>
          <w:color w:val="3E89C0"/>
        </w:rPr>
        <w:t>SECURITY</w:t>
      </w:r>
    </w:p>
    <w:p>
      <w:pPr>
        <w:spacing w:after="0" w:line="140" w:lineRule="exact"/>
        <w:rPr>
          <w:sz w:val="20"/>
          <w:szCs w:val="20"/>
          <w:color w:val="auto"/>
        </w:rPr>
      </w:pPr>
    </w:p>
    <w:p>
      <w:pPr>
        <w:ind w:right="140"/>
        <w:spacing w:after="0" w:line="336" w:lineRule="auto"/>
        <w:rPr>
          <w:sz w:val="20"/>
          <w:szCs w:val="20"/>
          <w:color w:val="auto"/>
        </w:rPr>
      </w:pPr>
      <w:r>
        <w:rPr>
          <w:rFonts w:ascii="Arial" w:cs="Arial" w:eastAsia="Arial" w:hAnsi="Arial"/>
          <w:sz w:val="17"/>
          <w:szCs w:val="17"/>
          <w:color w:val="auto"/>
        </w:rPr>
        <w:t>Our Security division plays a vital role in global safety, delivering innovative solutions that help protect people and infrastructure in dynamic, high-risk environments. We are a trusted leader in providing end-to-end security inspection solutions for airports, seaports, land borders, premier global sporting events, and high-threat facilities. Customers rely on our experience and expertise to address complex security challenges, including terrorism, drug and weapon smuggling, and trade fraud.</w:t>
      </w:r>
    </w:p>
    <w:p>
      <w:pPr>
        <w:spacing w:after="0" w:line="125" w:lineRule="exact"/>
        <w:rPr>
          <w:sz w:val="20"/>
          <w:szCs w:val="20"/>
          <w:color w:val="auto"/>
        </w:rPr>
      </w:pPr>
    </w:p>
    <w:p>
      <w:pPr>
        <w:ind w:right="180"/>
        <w:spacing w:after="0" w:line="313" w:lineRule="auto"/>
        <w:rPr>
          <w:sz w:val="20"/>
          <w:szCs w:val="20"/>
          <w:color w:val="auto"/>
        </w:rPr>
      </w:pPr>
      <w:r>
        <w:rPr>
          <w:rFonts w:ascii="Arial" w:cs="Arial" w:eastAsia="Arial" w:hAnsi="Arial"/>
          <w:sz w:val="18"/>
          <w:szCs w:val="18"/>
          <w:color w:val="auto"/>
        </w:rPr>
        <w:t>Our broad portfolio of screening solutions combines advanced detection technologies with sophisticated threat identification algorithms to deliver critical assistance to security professionals worldwide. We further expanded our capabilities by acquiring a global leader in high-power radio frequency (RF) transmission technology serving military, government, scientific, industrial, and broadcast markets.</w:t>
      </w:r>
    </w:p>
    <w:p>
      <w:pPr>
        <w:spacing w:after="0" w:line="140" w:lineRule="exact"/>
        <w:rPr>
          <w:sz w:val="20"/>
          <w:szCs w:val="20"/>
          <w:color w:val="auto"/>
        </w:rPr>
      </w:pPr>
    </w:p>
    <w:p>
      <w:pPr>
        <w:ind w:right="140"/>
        <w:spacing w:after="0" w:line="310" w:lineRule="auto"/>
        <w:rPr>
          <w:sz w:val="20"/>
          <w:szCs w:val="20"/>
          <w:color w:val="auto"/>
        </w:rPr>
      </w:pPr>
      <w:r>
        <w:rPr>
          <w:rFonts w:ascii="Arial" w:cs="Arial" w:eastAsia="Arial" w:hAnsi="Arial"/>
          <w:sz w:val="18"/>
          <w:szCs w:val="18"/>
          <w:color w:val="auto"/>
        </w:rPr>
        <w:t>Designed for demanding operational requirements and exceptional value, our comprehensive solutions deliver high-speed threat and contraband detection through CONOPS design, advanced inspection technology, information systems integration, and recurring training. Highly experienced technical, program management, and service teams provide a best-in-class customer experience throughout every project phase, from planning through deployment and post-installation support. Our robust training portfolio, delivered by certified, expert trainers, supports optimal product performance.</w:t>
      </w:r>
    </w:p>
    <w:p>
      <w:pPr>
        <w:spacing w:after="0" w:line="143" w:lineRule="exact"/>
        <w:rPr>
          <w:sz w:val="20"/>
          <w:szCs w:val="20"/>
          <w:color w:val="auto"/>
        </w:rPr>
      </w:pPr>
    </w:p>
    <w:p>
      <w:pPr>
        <w:spacing w:after="0" w:line="320" w:lineRule="auto"/>
        <w:rPr>
          <w:sz w:val="20"/>
          <w:szCs w:val="20"/>
          <w:color w:val="auto"/>
        </w:rPr>
      </w:pPr>
      <w:r>
        <w:rPr>
          <w:rFonts w:ascii="Arial" w:cs="Arial" w:eastAsia="Arial" w:hAnsi="Arial"/>
          <w:sz w:val="18"/>
          <w:szCs w:val="18"/>
          <w:color w:val="auto"/>
        </w:rPr>
        <w:t>Our turnkey screening solutions for trade and travel are designed to reduce upfront capital requirements while providing innovative technology, ongoing operations, maintenance, training, and staffing. Each operation uses CertScan</w:t>
      </w:r>
      <w:r>
        <w:rPr>
          <w:rFonts w:ascii="Arial" w:cs="Arial" w:eastAsia="Arial" w:hAnsi="Arial"/>
          <w:sz w:val="10"/>
          <w:szCs w:val="10"/>
          <w:color w:val="auto"/>
        </w:rPr>
        <w:t>®</w:t>
      </w:r>
      <w:r>
        <w:rPr>
          <w:rFonts w:ascii="Arial" w:cs="Arial" w:eastAsia="Arial" w:hAnsi="Arial"/>
          <w:sz w:val="18"/>
          <w:szCs w:val="18"/>
          <w:color w:val="auto"/>
        </w:rPr>
        <w:t xml:space="preserve"> to integrate equipment and data, streamlining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6366510" cy="215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extLst>
                    </a:blip>
                    <a:srcRect/>
                    <a:stretch>
                      <a:fillRect/>
                    </a:stretch>
                  </pic:blipFill>
                  <pic:spPr bwMode="auto">
                    <a:xfrm>
                      <a:off x="0" y="0"/>
                      <a:ext cx="6366510" cy="21532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273050</wp:posOffset>
                </wp:positionV>
                <wp:extent cx="63550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5080" cy="4763"/>
                        </a:xfrm>
                        <a:prstGeom prst="line">
                          <a:avLst/>
                        </a:prstGeom>
                        <a:solidFill>
                          <a:srgbClr val="FFFFFF"/>
                        </a:solidFill>
                        <a:ln w="9525">
                          <a:solidFill>
                            <a:srgbClr val="3E89C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500.2pt,21.5pt" o:allowincell="f" strokecolor="#3E89C0" strokeweight="0.75pt"/>
            </w:pict>
          </mc:Fallback>
        </mc:AlternateContent>
      </w:r>
    </w:p>
    <w:p>
      <w:pPr>
        <w:sectPr>
          <w:pgSz w:w="11880" w:h="15480" w:orient="portrait"/>
          <w:cols w:equalWidth="0" w:num="1">
            <w:col w:w="10020"/>
          </w:cols>
          <w:pgMar w:left="940" w:top="401" w:right="920"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34"/>
        </w:rPr>
        <w:drawing>
          <wp:anchor simplePos="0" relativeHeight="251657728" behindDoc="1" locked="0" layoutInCell="0" allowOverlap="1">
            <wp:simplePos x="0" y="0"/>
            <wp:positionH relativeFrom="page">
              <wp:posOffset>0</wp:posOffset>
            </wp:positionH>
            <wp:positionV relativeFrom="page">
              <wp:posOffset>0</wp:posOffset>
            </wp:positionV>
            <wp:extent cx="6949440" cy="6835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extLst>
                    </a:blip>
                    <a:srcRect/>
                    <a:stretch>
                      <a:fillRect/>
                    </a:stretch>
                  </pic:blipFill>
                  <pic:spPr bwMode="auto">
                    <a:xfrm>
                      <a:off x="0" y="0"/>
                      <a:ext cx="6949440" cy="683514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6"/>
          <w:szCs w:val="46"/>
          <w:color w:val="3E89C0"/>
        </w:rPr>
        <w:t>INTEGRATION SOFTWARE AND SOLUTIONS</w:t>
      </w:r>
    </w:p>
    <w:p>
      <w:pPr>
        <w:spacing w:after="0" w:line="232" w:lineRule="exact"/>
        <w:rPr>
          <w:sz w:val="20"/>
          <w:szCs w:val="20"/>
          <w:color w:val="auto"/>
        </w:rPr>
      </w:pPr>
    </w:p>
    <w:p>
      <w:pPr>
        <w:ind w:right="220"/>
        <w:spacing w:after="0" w:line="337" w:lineRule="auto"/>
        <w:rPr>
          <w:sz w:val="20"/>
          <w:szCs w:val="20"/>
          <w:color w:val="auto"/>
        </w:rPr>
      </w:pPr>
      <w:r>
        <w:rPr>
          <w:rFonts w:ascii="Arial" w:cs="Arial" w:eastAsia="Arial" w:hAnsi="Arial"/>
          <w:sz w:val="18"/>
          <w:szCs w:val="18"/>
          <w:color w:val="auto"/>
        </w:rPr>
        <w:t>As screening volumes grow at airports, land borders, seaports, and venue entrances, customers seek faster movement of people, bags, cargo, and vehicles, more accurate tax revenue collection, and compliance with security standards.</w:t>
      </w:r>
    </w:p>
    <w:p>
      <w:pPr>
        <w:spacing w:after="0" w:line="119"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color w:val="auto"/>
        </w:rPr>
        <w:t>Integrating inspection systems with CertScan</w:t>
      </w:r>
      <w:r>
        <w:rPr>
          <w:rFonts w:ascii="Arial" w:cs="Arial" w:eastAsia="Arial" w:hAnsi="Arial"/>
          <w:sz w:val="10"/>
          <w:szCs w:val="10"/>
          <w:color w:val="auto"/>
        </w:rPr>
        <w:t>®</w:t>
      </w:r>
      <w:r>
        <w:rPr>
          <w:rFonts w:ascii="Arial" w:cs="Arial" w:eastAsia="Arial" w:hAnsi="Arial"/>
          <w:sz w:val="18"/>
          <w:szCs w:val="18"/>
          <w:color w:val="auto"/>
        </w:rPr>
        <w:t xml:space="preserve"> and our products and services enhances security and operational efficiency. Benefits include increased revenue collection, greater compliance with security standards, more effective resource deployment, and an improved user experience.</w:t>
      </w:r>
    </w:p>
    <w:p>
      <w:pPr>
        <w:spacing w:after="0" w:line="135" w:lineRule="exact"/>
        <w:rPr>
          <w:sz w:val="20"/>
          <w:szCs w:val="20"/>
          <w:color w:val="auto"/>
        </w:rPr>
      </w:pPr>
    </w:p>
    <w:p>
      <w:pPr>
        <w:spacing w:after="0" w:line="319" w:lineRule="auto"/>
        <w:rPr>
          <w:sz w:val="20"/>
          <w:szCs w:val="20"/>
          <w:color w:val="auto"/>
        </w:rPr>
      </w:pPr>
      <w:r>
        <w:rPr>
          <w:rFonts w:ascii="Arial" w:cs="Arial" w:eastAsia="Arial" w:hAnsi="Arial"/>
          <w:sz w:val="18"/>
          <w:szCs w:val="18"/>
          <w:color w:val="auto"/>
        </w:rPr>
        <w:t>CertScan gives customers greater control of inspection programs. Combined with our artificial intelligence tools, it enables them to engage and optimize multi-system, multi-site security inspection programs, helping customs and security operators perform better.</w:t>
      </w:r>
    </w:p>
    <w:p>
      <w:pPr>
        <w:sectPr>
          <w:pgSz w:w="11880" w:h="15480" w:orient="portrait"/>
          <w:cols w:equalWidth="0" w:num="1">
            <w:col w:w="9800"/>
          </w:cols>
          <w:pgMar w:left="940" w:top="401" w:right="1140" w:bottom="256" w:gutter="0" w:footer="0" w:header="0"/>
        </w:sectPr>
      </w:pPr>
    </w:p>
    <w:bookmarkStart w:id="6" w:name="page7"/>
    <w:bookmarkEnd w:id="6"/>
    <w:tbl>
      <w:tblPr>
        <w:tblLayout w:type="fixed"/>
        <w:tblInd w:w="742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Arial" w:cs="Arial" w:eastAsia="Arial" w:hAnsi="Arial"/>
                <w:sz w:val="14"/>
                <w:szCs w:val="14"/>
                <w:color w:val="000034"/>
                <w:w w:val="80"/>
              </w:rPr>
              <w:t>OSI SYSTEMS, INC. | 2026 ANNUAL REPORT</w:t>
            </w:r>
          </w:p>
        </w:tc>
        <w:tc>
          <w:tcPr>
            <w:tcW w:w="180" w:type="dxa"/>
            <w:vAlign w:val="bottom"/>
          </w:tcPr>
          <w:p>
            <w:pPr>
              <w:jc w:val="right"/>
              <w:spacing w:after="0"/>
              <w:rPr>
                <w:sz w:val="20"/>
                <w:szCs w:val="20"/>
                <w:color w:val="auto"/>
              </w:rPr>
            </w:pPr>
            <w:r>
              <w:rPr>
                <w:rFonts w:ascii="Arial" w:cs="Arial" w:eastAsia="Arial" w:hAnsi="Arial"/>
                <w:sz w:val="14"/>
                <w:szCs w:val="14"/>
                <w:color w:val="000034"/>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20"/>
        <w:spacing w:after="0" w:line="275" w:lineRule="auto"/>
        <w:rPr>
          <w:sz w:val="20"/>
          <w:szCs w:val="20"/>
          <w:color w:val="auto"/>
        </w:rPr>
      </w:pPr>
      <w:r>
        <w:rPr>
          <w:rFonts w:ascii="Arial" w:cs="Arial" w:eastAsia="Arial" w:hAnsi="Arial"/>
          <w:sz w:val="48"/>
          <w:szCs w:val="48"/>
          <w:color w:val="3E89C0"/>
        </w:rPr>
        <w:t>MISSION-CRITICAL RF SOLUTIONS THAT CONNECT, NAVIGATE, AND PROTECT</w:t>
      </w:r>
    </w:p>
    <w:p>
      <w:pPr>
        <w:sectPr>
          <w:pgSz w:w="11880" w:h="15480" w:orient="portrait"/>
          <w:cols w:equalWidth="0" w:num="1">
            <w:col w:w="10000"/>
          </w:cols>
          <w:pgMar w:left="940" w:top="401" w:right="940" w:bottom="1440" w:gutter="0" w:footer="0" w:header="0"/>
        </w:sectPr>
      </w:pPr>
    </w:p>
    <w:p>
      <w:pPr>
        <w:spacing w:after="0" w:line="53"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Whether communicating with submarines deep beneath the ocean’s surface, supporting radar that stands watch around the clock, providing resilient positioning, navigation, and timing, or reaching spacecraft beyond the solar system, our government, defense, and scientific customers depend on radio frequency (RF) systems that must perform without fail. They seek reliable long-range communications, greater efficiency, and systems that can be sustained for decades as mission demands grow.</w:t>
      </w:r>
    </w:p>
    <w:p>
      <w:pPr>
        <w:spacing w:after="0" w:line="152"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Our customers benefit from nearly 80 years of RF innovation, including high-power VLF, LF, HF, and microwave transmitters, radar transmitter systems, deep space transmitters, and RF systems for particle physics research and energy production. The U.S. Navy and allied forces rely on our transmitters for vital submarine communications, and we are the transmitter supplier for NASA’s Deep Space Network, which communicates with spacecraft throughout the solar system and beyond.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color w:val="auto"/>
        </w:rPr>
        <w:t>Our new state-of-the-art facility in Richardson, Texas increases manufacturing and engineering capacity to meet rising domestic and global demand for advanced RF, microwave, and mission-critical systems. Combined with our global presence, sales and service infrastructure, and longstanding relationships with U.S. and international government agencies, we are well positioned to pursue larger programs, such as over-the-horizon radar modernization, and deliver more complete RF solutions to customers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8890</wp:posOffset>
            </wp:positionV>
            <wp:extent cx="7543800" cy="6103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7543800" cy="6103620"/>
                    </a:xfrm>
                    <a:prstGeom prst="rect">
                      <a:avLst/>
                    </a:prstGeom>
                    <a:noFill/>
                  </pic:spPr>
                </pic:pic>
              </a:graphicData>
            </a:graphic>
          </wp:anchor>
        </w:drawing>
      </w:r>
    </w:p>
    <w:p>
      <w:pPr>
        <w:sectPr>
          <w:pgSz w:w="11880" w:h="15480" w:orient="portrait"/>
          <w:cols w:equalWidth="0" w:num="2">
            <w:col w:w="4740" w:space="480"/>
            <w:col w:w="4780"/>
          </w:cols>
          <w:pgMar w:left="940" w:top="401" w:right="940" w:bottom="1440" w:gutter="0" w:footer="0" w:header="0"/>
          <w:type w:val="continuous"/>
        </w:sectPr>
      </w:pPr>
    </w:p>
    <w:bookmarkStart w:id="7" w:name="page8"/>
    <w:bookmarkEnd w:id="7"/>
    <w:p>
      <w:pPr>
        <w:ind w:left="324" w:hanging="324"/>
        <w:spacing w:after="0"/>
        <w:tabs>
          <w:tab w:leader="none" w:pos="324" w:val="left"/>
        </w:tabs>
        <w:numPr>
          <w:ilvl w:val="0"/>
          <w:numId w:val="3"/>
        </w:numPr>
        <w:rPr>
          <w:rFonts w:ascii="Arial" w:cs="Arial" w:eastAsia="Arial" w:hAnsi="Arial"/>
          <w:sz w:val="12"/>
          <w:szCs w:val="12"/>
          <w:color w:val="000034"/>
        </w:rPr>
      </w:pPr>
      <w:r>
        <w:rPr>
          <w:rFonts w:ascii="Arial" w:cs="Arial" w:eastAsia="Arial" w:hAnsi="Arial"/>
          <w:sz w:val="12"/>
          <w:szCs w:val="12"/>
          <w:color w:val="000034"/>
        </w:rPr>
        <w:t>OSI SYSTEMS, INC. | 2026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252095</wp:posOffset>
            </wp:positionV>
            <wp:extent cx="3200400" cy="5546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3200400" cy="554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
        <w:spacing w:after="0"/>
        <w:rPr>
          <w:sz w:val="20"/>
          <w:szCs w:val="20"/>
          <w:color w:val="auto"/>
        </w:rPr>
      </w:pPr>
      <w:r>
        <w:rPr>
          <w:rFonts w:ascii="Arial" w:cs="Arial" w:eastAsia="Arial" w:hAnsi="Arial"/>
          <w:sz w:val="22"/>
          <w:szCs w:val="22"/>
          <w:color w:val="FFFFFF"/>
        </w:rPr>
        <w:t>A E R O S PAC E A N D</w:t>
      </w:r>
    </w:p>
    <w:p>
      <w:pPr>
        <w:ind w:left="4"/>
        <w:spacing w:after="0"/>
        <w:rPr>
          <w:sz w:val="20"/>
          <w:szCs w:val="20"/>
          <w:color w:val="auto"/>
        </w:rPr>
      </w:pPr>
      <w:r>
        <w:rPr>
          <w:rFonts w:ascii="Arial" w:cs="Arial" w:eastAsia="Arial" w:hAnsi="Arial"/>
          <w:sz w:val="22"/>
          <w:szCs w:val="22"/>
          <w:color w:val="FFFFFF"/>
        </w:rPr>
        <w:t>D E F E N S E</w:t>
      </w:r>
    </w:p>
    <w:p>
      <w:pPr>
        <w:spacing w:after="0" w:line="334" w:lineRule="exact"/>
        <w:rPr>
          <w:sz w:val="20"/>
          <w:szCs w:val="20"/>
          <w:color w:val="auto"/>
        </w:rPr>
      </w:pPr>
    </w:p>
    <w:p>
      <w:pPr>
        <w:ind w:left="4"/>
        <w:spacing w:after="0"/>
        <w:rPr>
          <w:sz w:val="20"/>
          <w:szCs w:val="20"/>
          <w:color w:val="auto"/>
        </w:rPr>
      </w:pPr>
      <w:r>
        <w:rPr>
          <w:rFonts w:ascii="Arial" w:cs="Arial" w:eastAsia="Arial" w:hAnsi="Arial"/>
          <w:sz w:val="22"/>
          <w:szCs w:val="22"/>
          <w:color w:val="FFFFFF"/>
        </w:rPr>
        <w:t>M E DI C A L A N D L IF E</w:t>
      </w:r>
    </w:p>
    <w:p>
      <w:pPr>
        <w:ind w:left="4"/>
        <w:spacing w:after="0"/>
        <w:rPr>
          <w:sz w:val="20"/>
          <w:szCs w:val="20"/>
          <w:color w:val="auto"/>
        </w:rPr>
      </w:pPr>
      <w:r>
        <w:rPr>
          <w:rFonts w:ascii="Arial" w:cs="Arial" w:eastAsia="Arial" w:hAnsi="Arial"/>
          <w:sz w:val="22"/>
          <w:szCs w:val="22"/>
          <w:color w:val="FFFFFF"/>
        </w:rPr>
        <w:t>S CIE N C E S</w:t>
      </w:r>
    </w:p>
    <w:p>
      <w:pPr>
        <w:spacing w:after="0" w:line="334" w:lineRule="exact"/>
        <w:rPr>
          <w:sz w:val="20"/>
          <w:szCs w:val="20"/>
          <w:color w:val="auto"/>
        </w:rPr>
      </w:pPr>
    </w:p>
    <w:p>
      <w:pPr>
        <w:ind w:left="4"/>
        <w:spacing w:after="0"/>
        <w:rPr>
          <w:sz w:val="20"/>
          <w:szCs w:val="20"/>
          <w:color w:val="auto"/>
        </w:rPr>
      </w:pPr>
      <w:r>
        <w:rPr>
          <w:rFonts w:ascii="Arial" w:cs="Arial" w:eastAsia="Arial" w:hAnsi="Arial"/>
          <w:sz w:val="22"/>
          <w:szCs w:val="22"/>
          <w:color w:val="FFFFFF"/>
        </w:rPr>
        <w:t>AU TO M OT I V E A N D</w:t>
      </w:r>
    </w:p>
    <w:p>
      <w:pPr>
        <w:ind w:left="4"/>
        <w:spacing w:after="0"/>
        <w:rPr>
          <w:sz w:val="20"/>
          <w:szCs w:val="20"/>
          <w:color w:val="auto"/>
        </w:rPr>
      </w:pPr>
      <w:r>
        <w:rPr>
          <w:rFonts w:ascii="Arial" w:cs="Arial" w:eastAsia="Arial" w:hAnsi="Arial"/>
          <w:sz w:val="22"/>
          <w:szCs w:val="22"/>
          <w:color w:val="FFFFFF"/>
        </w:rPr>
        <w:t>AU TO M AT I O N</w:t>
      </w:r>
    </w:p>
    <w:p>
      <w:pPr>
        <w:spacing w:after="0" w:line="347" w:lineRule="exact"/>
        <w:rPr>
          <w:sz w:val="20"/>
          <w:szCs w:val="20"/>
          <w:color w:val="auto"/>
        </w:rPr>
      </w:pPr>
    </w:p>
    <w:p>
      <w:pPr>
        <w:ind w:left="4" w:right="1280"/>
        <w:spacing w:after="0" w:line="263" w:lineRule="auto"/>
        <w:rPr>
          <w:sz w:val="20"/>
          <w:szCs w:val="20"/>
          <w:color w:val="auto"/>
        </w:rPr>
      </w:pPr>
      <w:r>
        <w:rPr>
          <w:rFonts w:ascii="Arial" w:cs="Arial" w:eastAsia="Arial" w:hAnsi="Arial"/>
          <w:sz w:val="22"/>
          <w:szCs w:val="22"/>
          <w:color w:val="FFFFFF"/>
        </w:rPr>
        <w:t>N O N - IN T RU S I V E X- R AY D E T ECT I O N</w:t>
      </w:r>
    </w:p>
    <w:p>
      <w:pPr>
        <w:spacing w:after="0" w:line="286" w:lineRule="exact"/>
        <w:rPr>
          <w:sz w:val="20"/>
          <w:szCs w:val="20"/>
          <w:color w:val="auto"/>
        </w:rPr>
      </w:pPr>
    </w:p>
    <w:p>
      <w:pPr>
        <w:ind w:left="4" w:right="1180"/>
        <w:spacing w:after="0" w:line="263" w:lineRule="auto"/>
        <w:rPr>
          <w:sz w:val="20"/>
          <w:szCs w:val="20"/>
          <w:color w:val="auto"/>
        </w:rPr>
      </w:pPr>
      <w:r>
        <w:rPr>
          <w:rFonts w:ascii="Arial" w:cs="Arial" w:eastAsia="Arial" w:hAnsi="Arial"/>
          <w:sz w:val="22"/>
          <w:szCs w:val="22"/>
          <w:color w:val="FFFFFF"/>
        </w:rPr>
        <w:t>IN D U S T RI A L , T E S T A N D M E A S U R E M E N 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22"/>
          <w:szCs w:val="22"/>
          <w:color w:val="FFFFFF"/>
        </w:rPr>
        <w:t>O P T I C A L</w:t>
      </w:r>
    </w:p>
    <w:p>
      <w:pPr>
        <w:ind w:left="4"/>
        <w:spacing w:after="0"/>
        <w:rPr>
          <w:sz w:val="20"/>
          <w:szCs w:val="20"/>
          <w:color w:val="auto"/>
        </w:rPr>
      </w:pPr>
      <w:r>
        <w:rPr>
          <w:rFonts w:ascii="Arial" w:cs="Arial" w:eastAsia="Arial" w:hAnsi="Arial"/>
          <w:sz w:val="22"/>
          <w:szCs w:val="22"/>
          <w:color w:val="FFFFFF"/>
        </w:rPr>
        <w:t>C O M M U NI C AT I O N</w:t>
      </w:r>
    </w:p>
    <w:p>
      <w:pPr>
        <w:spacing w:after="0" w:line="334" w:lineRule="exact"/>
        <w:rPr>
          <w:sz w:val="20"/>
          <w:szCs w:val="20"/>
          <w:color w:val="auto"/>
        </w:rPr>
      </w:pPr>
    </w:p>
    <w:p>
      <w:pPr>
        <w:ind w:left="4"/>
        <w:spacing w:after="0"/>
        <w:rPr>
          <w:sz w:val="20"/>
          <w:szCs w:val="20"/>
          <w:color w:val="auto"/>
        </w:rPr>
      </w:pPr>
      <w:r>
        <w:rPr>
          <w:rFonts w:ascii="Arial" w:cs="Arial" w:eastAsia="Arial" w:hAnsi="Arial"/>
          <w:sz w:val="22"/>
          <w:szCs w:val="22"/>
          <w:color w:val="FFFFFF"/>
        </w:rPr>
        <w:t>C O N S U M E R</w:t>
      </w:r>
    </w:p>
    <w:p>
      <w:pPr>
        <w:ind w:left="4"/>
        <w:spacing w:after="0"/>
        <w:rPr>
          <w:sz w:val="20"/>
          <w:szCs w:val="20"/>
          <w:color w:val="auto"/>
        </w:rPr>
      </w:pPr>
      <w:r>
        <w:rPr>
          <w:rFonts w:ascii="Arial" w:cs="Arial" w:eastAsia="Arial" w:hAnsi="Arial"/>
          <w:sz w:val="22"/>
          <w:szCs w:val="22"/>
          <w:color w:val="FFFFFF"/>
        </w:rPr>
        <w:t>E L ECT R O NI C 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7"/>
          <w:szCs w:val="37"/>
          <w:color w:val="3E89C0"/>
        </w:rPr>
        <w:t>LIGHT SENSING SOLUTIONS</w:t>
      </w:r>
    </w:p>
    <w:p>
      <w:pPr>
        <w:spacing w:after="0" w:line="335" w:lineRule="exact"/>
        <w:rPr>
          <w:sz w:val="20"/>
          <w:szCs w:val="20"/>
          <w:color w:val="auto"/>
        </w:rPr>
      </w:pPr>
    </w:p>
    <w:p>
      <w:pPr>
        <w:ind w:right="60"/>
        <w:spacing w:after="0" w:line="307" w:lineRule="auto"/>
        <w:rPr>
          <w:sz w:val="20"/>
          <w:szCs w:val="20"/>
          <w:color w:val="auto"/>
        </w:rPr>
      </w:pPr>
      <w:r>
        <w:rPr>
          <w:rFonts w:ascii="Arial" w:cs="Arial" w:eastAsia="Arial" w:hAnsi="Arial"/>
          <w:sz w:val="18"/>
          <w:szCs w:val="18"/>
          <w:color w:val="auto"/>
        </w:rPr>
        <w:t>Our Optoelectronics and Manufacturing division is a global leader in advanced optoelectronics and electronics solutions for leading aerospace and defense, medical and life sciences, industrial and automotive, test and measurement, consumer technology, and critical industrial OEMs. We deliver high-performance, high-reliability, market-driven technologies tailored to demanding applications.</w:t>
      </w:r>
    </w:p>
    <w:p>
      <w:pPr>
        <w:spacing w:after="0" w:line="146"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We design and manufacture standard and custom optoelectronic components, high-reliability transistors, and specialized electronics and contract manufacturing solutions across a wide range of applications. Our flexible circuit fabrication and assembly capabilities are recognized for strong design and manufacturing expertise. Leveraging vertically integrated manufacturing and supply chain capabilities from die through full systems, together with global manufacturing capabilities and deep industry experience, we provide customers worldwide with reliable high-quality products, innovative solutions, responsive service, and competitive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1206500</wp:posOffset>
            </wp:positionV>
            <wp:extent cx="6949440" cy="3689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extLst>
                    </a:blip>
                    <a:srcRect/>
                    <a:stretch>
                      <a:fillRect/>
                    </a:stretch>
                  </pic:blipFill>
                  <pic:spPr bwMode="auto">
                    <a:xfrm>
                      <a:off x="0" y="0"/>
                      <a:ext cx="6949440" cy="3689350"/>
                    </a:xfrm>
                    <a:prstGeom prst="rect">
                      <a:avLst/>
                    </a:prstGeom>
                    <a:noFill/>
                  </pic:spPr>
                </pic:pic>
              </a:graphicData>
            </a:graphic>
          </wp:anchor>
        </w:drawing>
      </w:r>
    </w:p>
    <w:p>
      <w:pPr>
        <w:sectPr>
          <w:pgSz w:w="11880" w:h="15480" w:orient="portrait"/>
          <w:cols w:equalWidth="0" w:num="2">
            <w:col w:w="4064" w:space="720"/>
            <w:col w:w="5200"/>
          </w:cols>
          <w:pgMar w:left="936" w:top="401" w:right="960" w:bottom="1440" w:gutter="0" w:footer="0" w:header="0"/>
        </w:sectPr>
      </w:pPr>
    </w:p>
    <w:bookmarkStart w:id="8" w:name="page9"/>
    <w:bookmarkEnd w:id="8"/>
    <w:p>
      <w:pPr>
        <w:ind w:left="6920"/>
        <w:spacing w:after="0"/>
        <w:tabs>
          <w:tab w:leader="none" w:pos="9440" w:val="left"/>
        </w:tabs>
        <w:rPr>
          <w:sz w:val="20"/>
          <w:szCs w:val="20"/>
          <w:color w:val="auto"/>
        </w:rPr>
      </w:pPr>
      <w:r>
        <w:rPr>
          <w:rFonts w:ascii="Arial" w:cs="Arial" w:eastAsia="Arial" w:hAnsi="Arial"/>
          <w:sz w:val="12"/>
          <w:szCs w:val="12"/>
          <w:color w:val="000034"/>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OSI SYSTEMS, INC. | 2026 ANNUAL REPORT</w:t>
      </w:r>
      <w:r>
        <w:rPr>
          <w:sz w:val="20"/>
          <w:szCs w:val="20"/>
          <w:color w:val="auto"/>
        </w:rPr>
        <w:tab/>
      </w:r>
      <w:r>
        <w:rPr>
          <w:rFonts w:ascii="Arial" w:cs="Arial" w:eastAsia="Arial" w:hAnsi="Arial"/>
          <w:sz w:val="7"/>
          <w:szCs w:val="7"/>
          <w:color w:val="000034"/>
        </w:rPr>
        <w:t>7</w:t>
      </w:r>
    </w:p>
    <w:p>
      <w:pPr>
        <w:sectPr>
          <w:pgSz w:w="11880" w:h="15480" w:orient="portrait"/>
          <w:cols w:equalWidth="0" w:num="1">
            <w:col w:w="9500"/>
          </w:cols>
          <w:pgMar w:left="1440" w:top="401" w:right="940" w:bottom="1440" w:gutter="0" w:footer="0" w:header="0"/>
        </w:sectPr>
      </w:pPr>
    </w:p>
    <w:bookmarkStart w:id="9" w:name="page10"/>
    <w:bookmarkEnd w:id="9"/>
    <w:p>
      <w:pPr>
        <w:ind w:left="324" w:hanging="324"/>
        <w:spacing w:after="0"/>
        <w:tabs>
          <w:tab w:leader="none" w:pos="324" w:val="left"/>
        </w:tabs>
        <w:numPr>
          <w:ilvl w:val="0"/>
          <w:numId w:val="4"/>
        </w:numPr>
        <w:rPr>
          <w:rFonts w:ascii="Arial" w:cs="Arial" w:eastAsia="Arial" w:hAnsi="Arial"/>
          <w:sz w:val="14"/>
          <w:szCs w:val="14"/>
          <w:color w:val="000034"/>
        </w:rPr>
      </w:pPr>
      <w:r>
        <w:rPr>
          <w:rFonts w:ascii="Arial" w:cs="Arial" w:eastAsia="Arial" w:hAnsi="Arial"/>
          <w:sz w:val="14"/>
          <w:szCs w:val="14"/>
          <w:color w:val="000034"/>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OSI SYSTEMS, INC. | 2026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 w:right="460"/>
        <w:spacing w:after="0" w:line="370" w:lineRule="auto"/>
        <w:rPr>
          <w:sz w:val="20"/>
          <w:szCs w:val="20"/>
          <w:color w:val="auto"/>
        </w:rPr>
      </w:pPr>
      <w:r>
        <w:rPr>
          <w:rFonts w:ascii="Arial" w:cs="Arial" w:eastAsia="Arial" w:hAnsi="Arial"/>
          <w:sz w:val="37"/>
          <w:szCs w:val="37"/>
          <w:color w:val="3E89C0"/>
        </w:rPr>
        <w:t>EMPOWERING HEALTHCARE TEAM PERFORMANCE</w:t>
      </w:r>
    </w:p>
    <w:p>
      <w:pPr>
        <w:spacing w:after="0" w:line="2" w:lineRule="exact"/>
        <w:rPr>
          <w:sz w:val="20"/>
          <w:szCs w:val="20"/>
          <w:color w:val="auto"/>
        </w:rPr>
      </w:pPr>
    </w:p>
    <w:p>
      <w:pPr>
        <w:ind w:left="4" w:right="540"/>
        <w:spacing w:after="0" w:line="304" w:lineRule="auto"/>
        <w:rPr>
          <w:sz w:val="20"/>
          <w:szCs w:val="20"/>
          <w:color w:val="auto"/>
        </w:rPr>
      </w:pPr>
      <w:r>
        <w:rPr>
          <w:rFonts w:ascii="Arial" w:cs="Arial" w:eastAsia="Arial" w:hAnsi="Arial"/>
          <w:sz w:val="18"/>
          <w:szCs w:val="18"/>
          <w:color w:val="auto"/>
        </w:rPr>
        <w:t>From newborns to centenarians, millions of individuals benefit each year from the innovations developed by our Healthcare division in patient monitoring and management, care coordination, and clinical decision support. Guided by a fundamental commitment to improving care for all, our Healthcare division is dedicated to solving the greatest challenges the medical system currently faces, including the need to enhance the patient experience, improve population health, reduce costs, support care team well-being and advance health equity. As part of our mission, the division creates services and technologies that are designed to improve patient outcomes and support the needs of healthcare providers worldwide.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80"/>
        <w:spacing w:after="0" w:line="334" w:lineRule="auto"/>
        <w:rPr>
          <w:sz w:val="20"/>
          <w:szCs w:val="20"/>
          <w:color w:val="auto"/>
        </w:rPr>
      </w:pPr>
      <w:r>
        <w:rPr>
          <w:rFonts w:ascii="Arial" w:cs="Arial" w:eastAsia="Arial" w:hAnsi="Arial"/>
          <w:sz w:val="20"/>
          <w:szCs w:val="20"/>
          <w:color w:val="FFFFFF"/>
        </w:rPr>
        <w:t>PAT IE N T M O NI TO RIN G A N D C O N N ECT I V I T 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FFFFFF"/>
        </w:rPr>
        <w:t>C A R DI O LO GY A N 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FFFFFF"/>
        </w:rPr>
        <w:t>R E M OT E M O NI TO RIN G</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FFFFFF"/>
        </w:rPr>
        <w:t>S U P P L IE S A N D</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FFFFFF"/>
        </w:rPr>
        <w:t>AC C E S S O RIE S</w:t>
      </w:r>
    </w:p>
    <w:p>
      <w:pPr>
        <w:sectPr>
          <w:pgSz w:w="11880" w:h="15480" w:orient="portrait"/>
          <w:cols w:equalWidth="0" w:num="2">
            <w:col w:w="5764" w:space="720"/>
            <w:col w:w="3020"/>
          </w:cols>
          <w:pgMar w:left="936" w:top="401"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581660</wp:posOffset>
            </wp:positionH>
            <wp:positionV relativeFrom="page">
              <wp:posOffset>581660</wp:posOffset>
            </wp:positionV>
            <wp:extent cx="6369050" cy="8656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6369050" cy="865632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2" w:name="page13"/>
    <w:bookmarkEnd w:id="1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1190625</wp:posOffset>
                </wp:positionV>
                <wp:extent cx="68961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3.75pt" to="568.5pt,93.7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1223645</wp:posOffset>
                </wp:positionV>
                <wp:extent cx="68961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6.35pt" to="568.5pt,96.35pt" o:allowincell="f" strokecolor="#000000" strokeweight="0.7199pt">
                <w10:wrap anchorx="page" anchory="page"/>
              </v:line>
            </w:pict>
          </mc:Fallback>
        </mc:AlternateConten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81915</wp:posOffset>
                </wp:positionV>
                <wp:extent cx="17145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6.45pt" to="337.4pt,6.45pt" o:allowincell="f" strokecolor="#000000" strokeweight="1.02pt"/>
            </w:pict>
          </mc:Fallback>
        </mc:AlternateConten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0"/>
          <w:szCs w:val="20"/>
          <w:color w:val="auto"/>
        </w:rPr>
      </w:pPr>
    </w:p>
    <w:p>
      <w:pPr>
        <w:ind w:left="700" w:hanging="700"/>
        <w:spacing w:after="0"/>
        <w:tabs>
          <w:tab w:leader="none" w:pos="70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OF 1934</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2026</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2" w:lineRule="exact"/>
        <w:rPr>
          <w:sz w:val="20"/>
          <w:szCs w:val="20"/>
          <w:color w:val="auto"/>
        </w:rPr>
      </w:pPr>
    </w:p>
    <w:p>
      <w:pPr>
        <w:ind w:left="700" w:hanging="700"/>
        <w:spacing w:after="0"/>
        <w:tabs>
          <w:tab w:leader="none" w:pos="700" w:val="left"/>
        </w:tabs>
        <w:numPr>
          <w:ilvl w:val="0"/>
          <w:numId w:val="6"/>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15" w:lineRule="exact"/>
        <w:rPr>
          <w:sz w:val="20"/>
          <w:szCs w:val="20"/>
          <w:color w:val="auto"/>
        </w:rPr>
      </w:pPr>
    </w:p>
    <w:p>
      <w:pPr>
        <w:ind w:left="70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1616075</wp:posOffset>
                </wp:positionH>
                <wp:positionV relativeFrom="paragraph">
                  <wp:posOffset>4445</wp:posOffset>
                </wp:positionV>
                <wp:extent cx="13271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8381">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25pt,0.35pt" to="137.7pt,0.35pt" o:allowincell="f" strokecolor="#000000" strokeweight="0.6599pt"/>
            </w:pict>
          </mc:Fallback>
        </mc:AlternateContent>
        <mc:AlternateContent>
          <mc:Choice Requires="wps">
            <w:drawing>
              <wp:anchor simplePos="0" relativeHeight="251657728" behindDoc="1" locked="0" layoutInCell="0" allowOverlap="1">
                <wp:simplePos x="0" y="0"/>
                <wp:positionH relativeFrom="column">
                  <wp:posOffset>1867535</wp:posOffset>
                </wp:positionH>
                <wp:positionV relativeFrom="paragraph">
                  <wp:posOffset>4445</wp:posOffset>
                </wp:positionV>
                <wp:extent cx="1333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8381">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05pt,0.35pt" to="157.55pt,0.35pt" o:allowincell="f" strokecolor="#000000" strokeweight="0.6599pt"/>
            </w:pict>
          </mc:Fallback>
        </mc:AlternateConten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000-23125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98425</wp:posOffset>
                </wp:positionV>
                <wp:extent cx="17145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7.75pt" to="337.4pt,7.75pt" o:allowincell="f" strokecolor="#000000" strokeweight="1.02pt"/>
            </w:pict>
          </mc:Fallback>
        </mc:AlternateContent>
        <w:drawing>
          <wp:anchor simplePos="0" relativeHeight="251657728" behindDoc="1" locked="0" layoutInCell="0" allowOverlap="1">
            <wp:simplePos x="0" y="0"/>
            <wp:positionH relativeFrom="column">
              <wp:posOffset>1641475</wp:posOffset>
            </wp:positionH>
            <wp:positionV relativeFrom="paragraph">
              <wp:posOffset>193675</wp:posOffset>
            </wp:positionV>
            <wp:extent cx="3554730" cy="419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extLst>
                    </a:blip>
                    <a:srcRect/>
                    <a:stretch>
                      <a:fillRect/>
                    </a:stretch>
                  </pic:blipFill>
                  <pic:spPr bwMode="auto">
                    <a:xfrm>
                      <a:off x="0" y="0"/>
                      <a:ext cx="35547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OSI SYSTEMS,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2"/>
          </w:tcPr>
          <w:p>
            <w:pPr>
              <w:jc w:val="center"/>
              <w:ind w:left="10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360" w:type="dxa"/>
            <w:vAlign w:val="bottom"/>
          </w:tcPr>
          <w:p>
            <w:pPr>
              <w:jc w:val="right"/>
              <w:ind w:right="2243"/>
              <w:spacing w:after="0"/>
              <w:rPr>
                <w:sz w:val="20"/>
                <w:szCs w:val="20"/>
                <w:color w:val="auto"/>
              </w:rPr>
            </w:pPr>
            <w:r>
              <w:rPr>
                <w:rFonts w:ascii="Times New Roman" w:cs="Times New Roman" w:eastAsia="Times New Roman" w:hAnsi="Times New Roman"/>
                <w:sz w:val="16"/>
                <w:szCs w:val="16"/>
                <w:b w:val="1"/>
                <w:bCs w:val="1"/>
                <w:color w:val="auto"/>
              </w:rPr>
              <w:t>33-0238801</w:t>
            </w:r>
          </w:p>
        </w:tc>
      </w:tr>
      <w:tr>
        <w:trPr>
          <w:trHeight w:val="184"/>
        </w:trPr>
        <w:tc>
          <w:tcPr>
            <w:tcW w:w="4320" w:type="dxa"/>
            <w:vAlign w:val="bottom"/>
            <w:gridSpan w:val="2"/>
          </w:tcPr>
          <w:p>
            <w:pPr>
              <w:jc w:val="center"/>
              <w:ind w:left="1004"/>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360" w:type="dxa"/>
            <w:vAlign w:val="bottom"/>
          </w:tcPr>
          <w:p>
            <w:pPr>
              <w:jc w:val="center"/>
              <w:ind w:right="196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185"/>
        </w:trPr>
        <w:tc>
          <w:tcPr>
            <w:tcW w:w="4320" w:type="dxa"/>
            <w:vAlign w:val="bottom"/>
            <w:gridSpan w:val="2"/>
          </w:tcPr>
          <w:p>
            <w:pPr>
              <w:jc w:val="center"/>
              <w:ind w:left="1004"/>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360" w:type="dxa"/>
            <w:vAlign w:val="bottom"/>
          </w:tcPr>
          <w:p>
            <w:pPr>
              <w:jc w:val="center"/>
              <w:ind w:right="1963"/>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184"/>
        </w:trPr>
        <w:tc>
          <w:tcPr>
            <w:tcW w:w="4320" w:type="dxa"/>
            <w:vAlign w:val="bottom"/>
            <w:gridSpan w:val="2"/>
          </w:tcPr>
          <w:p>
            <w:pPr>
              <w:jc w:val="center"/>
              <w:ind w:left="1004"/>
              <w:spacing w:after="0"/>
              <w:rPr>
                <w:sz w:val="20"/>
                <w:szCs w:val="20"/>
                <w:color w:val="auto"/>
              </w:rPr>
            </w:pPr>
            <w:r>
              <w:rPr>
                <w:rFonts w:ascii="Times New Roman" w:cs="Times New Roman" w:eastAsia="Times New Roman" w:hAnsi="Times New Roman"/>
                <w:sz w:val="16"/>
                <w:szCs w:val="16"/>
                <w:b w:val="1"/>
                <w:bCs w:val="1"/>
                <w:color w:val="auto"/>
                <w:w w:val="99"/>
              </w:rPr>
              <w:t>12525 Chadron Avenue, Hawthorne, California</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360" w:type="dxa"/>
            <w:vAlign w:val="bottom"/>
          </w:tcPr>
          <w:p>
            <w:pPr>
              <w:jc w:val="right"/>
              <w:ind w:right="2423"/>
              <w:spacing w:after="0"/>
              <w:rPr>
                <w:sz w:val="20"/>
                <w:szCs w:val="20"/>
                <w:color w:val="auto"/>
              </w:rPr>
            </w:pPr>
            <w:r>
              <w:rPr>
                <w:rFonts w:ascii="Times New Roman" w:cs="Times New Roman" w:eastAsia="Times New Roman" w:hAnsi="Times New Roman"/>
                <w:sz w:val="16"/>
                <w:szCs w:val="16"/>
                <w:b w:val="1"/>
                <w:bCs w:val="1"/>
                <w:color w:val="auto"/>
              </w:rPr>
              <w:t>90250</w:t>
            </w:r>
          </w:p>
        </w:tc>
      </w:tr>
      <w:tr>
        <w:trPr>
          <w:trHeight w:val="220"/>
        </w:trPr>
        <w:tc>
          <w:tcPr>
            <w:tcW w:w="4320" w:type="dxa"/>
            <w:vAlign w:val="bottom"/>
            <w:gridSpan w:val="2"/>
          </w:tcPr>
          <w:p>
            <w:pPr>
              <w:jc w:val="center"/>
              <w:ind w:left="1004"/>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60" w:type="dxa"/>
            <w:vAlign w:val="bottom"/>
          </w:tcPr>
          <w:p>
            <w:pPr>
              <w:jc w:val="center"/>
              <w:ind w:right="1983"/>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00"/>
        </w:trPr>
        <w:tc>
          <w:tcPr>
            <w:tcW w:w="7440" w:type="dxa"/>
            <w:vAlign w:val="bottom"/>
            <w:gridSpan w:val="5"/>
          </w:tcPr>
          <w:p>
            <w:pPr>
              <w:jc w:val="center"/>
              <w:ind w:left="32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 (310) 978-0516</w:t>
            </w:r>
          </w:p>
        </w:tc>
        <w:tc>
          <w:tcPr>
            <w:tcW w:w="3360" w:type="dxa"/>
            <w:vAlign w:val="bottom"/>
          </w:tcPr>
          <w:p>
            <w:pPr>
              <w:spacing w:after="0"/>
              <w:rPr>
                <w:sz w:val="17"/>
                <w:szCs w:val="17"/>
                <w:color w:val="auto"/>
              </w:rPr>
            </w:pPr>
          </w:p>
        </w:tc>
      </w:tr>
      <w:tr>
        <w:trPr>
          <w:trHeight w:val="208"/>
        </w:trPr>
        <w:tc>
          <w:tcPr>
            <w:tcW w:w="7440" w:type="dxa"/>
            <w:vAlign w:val="bottom"/>
            <w:gridSpan w:val="5"/>
          </w:tcPr>
          <w:p>
            <w:pPr>
              <w:jc w:val="center"/>
              <w:ind w:left="328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60" w:type="dxa"/>
            <w:vAlign w:val="bottom"/>
          </w:tcPr>
          <w:p>
            <w:pPr>
              <w:spacing w:after="0"/>
              <w:rPr>
                <w:sz w:val="18"/>
                <w:szCs w:val="18"/>
                <w:color w:val="auto"/>
              </w:rPr>
            </w:pPr>
          </w:p>
        </w:tc>
      </w:tr>
      <w:tr>
        <w:trPr>
          <w:trHeight w:val="228"/>
        </w:trPr>
        <w:tc>
          <w:tcPr>
            <w:tcW w:w="4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60" w:type="dxa"/>
            <w:vAlign w:val="bottom"/>
          </w:tcPr>
          <w:p>
            <w:pPr>
              <w:jc w:val="center"/>
              <w:ind w:right="66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3"/>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20" w:type="dxa"/>
            <w:vAlign w:val="bottom"/>
          </w:tcPr>
          <w:p>
            <w:pPr>
              <w:spacing w:after="0"/>
              <w:rPr>
                <w:sz w:val="14"/>
                <w:szCs w:val="14"/>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OSIS</w:t>
            </w: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360" w:type="dxa"/>
            <w:vAlign w:val="bottom"/>
            <w:tcBorders>
              <w:top w:val="single" w:sz="8" w:color="auto"/>
            </w:tcBorders>
          </w:tcPr>
          <w:p>
            <w:pPr>
              <w:jc w:val="center"/>
              <w:ind w:right="663"/>
              <w:spacing w:after="0"/>
              <w:rPr>
                <w:sz w:val="20"/>
                <w:szCs w:val="20"/>
                <w:color w:val="auto"/>
              </w:rPr>
            </w:pPr>
            <w:r>
              <w:rPr>
                <w:rFonts w:ascii="Times New Roman" w:cs="Times New Roman" w:eastAsia="Times New Roman" w:hAnsi="Times New Roman"/>
                <w:sz w:val="14"/>
                <w:szCs w:val="14"/>
                <w:b w:val="1"/>
                <w:bCs w:val="1"/>
                <w:color w:val="auto"/>
                <w:w w:val="99"/>
              </w:rPr>
              <w:t>The Nasdaq Global Select Market</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96520</wp:posOffset>
                </wp:positionV>
                <wp:extent cx="17145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7.6pt" to="337.4pt,7.6pt" o:allowincell="f" strokecolor="#000000" strokeweight="1.02pt"/>
            </w:pict>
          </mc:Fallback>
        </mc:AlternateContent>
      </w:r>
    </w:p>
    <w:p>
      <w:pPr>
        <w:spacing w:after="0" w:line="218" w:lineRule="exact"/>
        <w:rPr>
          <w:sz w:val="20"/>
          <w:szCs w:val="20"/>
          <w:color w:val="auto"/>
        </w:rPr>
      </w:pPr>
    </w:p>
    <w:p>
      <w:pPr>
        <w:ind w:left="7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0" w:lineRule="exact"/>
        <w:rPr>
          <w:sz w:val="20"/>
          <w:szCs w:val="20"/>
          <w:color w:val="auto"/>
        </w:rPr>
      </w:pPr>
    </w:p>
    <w:p>
      <w:pPr>
        <w:ind w:left="7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3" w:lineRule="exact"/>
        <w:rPr>
          <w:sz w:val="20"/>
          <w:szCs w:val="20"/>
          <w:color w:val="auto"/>
        </w:rPr>
      </w:pPr>
    </w:p>
    <w:p>
      <w:pPr>
        <w:jc w:val="both"/>
        <w:ind w:firstLine="7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72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left="7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6" w:lineRule="exact"/>
        <w:rPr>
          <w:sz w:val="20"/>
          <w:szCs w:val="20"/>
          <w:color w:val="auto"/>
        </w:rPr>
      </w:pPr>
    </w:p>
    <w:p>
      <w:pPr>
        <w:spacing w:after="0" w:line="161" w:lineRule="exact"/>
        <w:tabs>
          <w:tab w:leader="none" w:pos="1960" w:val="left"/>
          <w:tab w:leader="none" w:pos="3580" w:val="left"/>
          <w:tab w:leader="none" w:pos="5620" w:val="left"/>
          <w:tab w:leader="none" w:pos="80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8" w:lineRule="exact"/>
        <w:rPr>
          <w:sz w:val="20"/>
          <w:szCs w:val="20"/>
          <w:color w:val="auto"/>
        </w:rPr>
      </w:pPr>
    </w:p>
    <w:p>
      <w:pPr>
        <w:jc w:val="both"/>
        <w:ind w:firstLine="7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jc w:val="both"/>
        <w:ind w:firstLine="7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720"/>
        <w:spacing w:after="0" w:line="19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720"/>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ind w:left="7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computed by reference to the price at which the Common Stock was last sold on December 31, 2025, the last business day of the registrant’s most recently completed second fiscal quarter, was $4,020,393,452. For purposes of the foregoing calculation only, executive officers and directors of the registrant have been deemed to be affiliates of the registrant. The number of shares outstanding of the registrant’s Common Stock as of August 17, 2026 was 15,941,968.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4"/>
          <w:szCs w:val="14"/>
          <w:color w:val="auto"/>
        </w:rPr>
        <w:t>Portions of the definitive proxy statement relating to the 2026 annual meeting of stockholders are incorporated by reference into Part III. The proxy statement will be filed by the registrant with the Securities and Exchange Commission not later than 120 days after the end of the registrant’s 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66040</wp:posOffset>
                </wp:positionV>
                <wp:extent cx="68961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5.2pt" to="541.5pt,5.2pt" o:allowincell="f" strokecolor="#000000" strokeweight="3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33655</wp:posOffset>
                </wp:positionV>
                <wp:extent cx="68961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65pt" to="541.5pt,2.65pt" o:allowincell="f" strokecolor="#000000" strokeweight="0.72pt"/>
            </w:pict>
          </mc:Fallback>
        </mc:AlternateContent>
      </w:r>
    </w:p>
    <w:p>
      <w:pPr>
        <w:sectPr>
          <w:pgSz w:w="11880" w:h="15480" w:orient="portrait"/>
          <w:cols w:equalWidth="0" w:num="1">
            <w:col w:w="10800"/>
          </w:cols>
          <w:pgMar w:left="540" w:top="1440" w:right="540" w:bottom="58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20" w:type="dxa"/>
            <w:vAlign w:val="bottom"/>
          </w:tcPr>
          <w:p>
            <w:pPr>
              <w:ind w:left="30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40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24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199"/>
        </w:trPr>
        <w:tc>
          <w:tcPr>
            <w:tcW w:w="9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PART I</w:t>
            </w:r>
          </w:p>
        </w:tc>
        <w:tc>
          <w:tcPr>
            <w:tcW w:w="300" w:type="dxa"/>
            <w:vAlign w:val="bottom"/>
          </w:tcPr>
          <w:p>
            <w:pPr>
              <w:spacing w:after="0"/>
              <w:rPr>
                <w:sz w:val="17"/>
                <w:szCs w:val="17"/>
                <w:color w:val="auto"/>
              </w:rPr>
            </w:pPr>
          </w:p>
        </w:tc>
        <w:tc>
          <w:tcPr>
            <w:tcW w:w="8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Business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Risk Factors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Unresolved Staff Comments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1C.</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Cybersecurity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Properties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30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Securities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29"/>
        </w:trPr>
        <w:tc>
          <w:tcPr>
            <w:tcW w:w="980" w:type="dxa"/>
            <w:vAlign w:val="bottom"/>
          </w:tcPr>
          <w:p>
            <w:pPr>
              <w:ind w:left="40"/>
              <w:spacing w:after="0" w:line="229" w:lineRule="exact"/>
              <w:rPr>
                <w:sz w:val="20"/>
                <w:szCs w:val="20"/>
                <w:color w:val="auto"/>
              </w:rPr>
            </w:pPr>
            <w:r>
              <w:rPr>
                <w:rFonts w:ascii="Times New Roman" w:cs="Times New Roman" w:eastAsia="Times New Roman" w:hAnsi="Times New Roman"/>
                <w:sz w:val="20"/>
                <w:szCs w:val="20"/>
                <w:color w:val="auto"/>
              </w:rPr>
              <w:t>Item 6.</w:t>
            </w:r>
          </w:p>
        </w:tc>
        <w:tc>
          <w:tcPr>
            <w:tcW w:w="300" w:type="dxa"/>
            <w:vAlign w:val="bottom"/>
          </w:tcPr>
          <w:p>
            <w:pPr>
              <w:spacing w:after="0"/>
              <w:rPr>
                <w:sz w:val="19"/>
                <w:szCs w:val="19"/>
                <w:color w:val="auto"/>
              </w:rPr>
            </w:pPr>
          </w:p>
        </w:tc>
        <w:tc>
          <w:tcPr>
            <w:tcW w:w="8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[RESERVED]</w:t>
            </w:r>
          </w:p>
        </w:tc>
        <w:tc>
          <w:tcPr>
            <w:tcW w:w="9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37</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7A.</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Controls and Procedures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9C.</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Executive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8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30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980" w:type="dxa"/>
            <w:vAlign w:val="bottom"/>
          </w:tcPr>
          <w:p>
            <w:pPr>
              <w:ind w:left="40"/>
              <w:spacing w:after="0" w:line="229" w:lineRule="exact"/>
              <w:rPr>
                <w:sz w:val="20"/>
                <w:szCs w:val="20"/>
                <w:color w:val="auto"/>
              </w:rPr>
            </w:pPr>
            <w:r>
              <w:rPr>
                <w:rFonts w:ascii="Times New Roman" w:cs="Times New Roman" w:eastAsia="Times New Roman" w:hAnsi="Times New Roman"/>
                <w:sz w:val="20"/>
                <w:szCs w:val="20"/>
                <w:color w:val="auto"/>
              </w:rPr>
              <w:t>Item 15.</w:t>
            </w:r>
          </w:p>
        </w:tc>
        <w:tc>
          <w:tcPr>
            <w:tcW w:w="300" w:type="dxa"/>
            <w:vAlign w:val="bottom"/>
          </w:tcPr>
          <w:p>
            <w:pPr>
              <w:spacing w:after="0"/>
              <w:rPr>
                <w:sz w:val="19"/>
                <w:szCs w:val="19"/>
                <w:color w:val="auto"/>
              </w:rPr>
            </w:pPr>
          </w:p>
        </w:tc>
        <w:tc>
          <w:tcPr>
            <w:tcW w:w="8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Exhibits and Financial Statement Schedules</w:t>
            </w:r>
          </w:p>
        </w:tc>
        <w:tc>
          <w:tcPr>
            <w:tcW w:w="9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50</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16.</w:t>
            </w:r>
          </w:p>
        </w:tc>
        <w:tc>
          <w:tcPr>
            <w:tcW w:w="30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Form 10-K Summary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7"/>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r>
    </w:tbl>
    <w:p>
      <w:pPr>
        <w:sectPr>
          <w:pgSz w:w="11880" w:h="15480" w:orient="portrait"/>
          <w:cols w:equalWidth="0" w:num="1">
            <w:col w:w="10800"/>
          </w:cols>
          <w:pgMar w:left="540" w:top="1347" w:right="5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3" w:lineRule="exact"/>
        <w:rPr>
          <w:sz w:val="20"/>
          <w:szCs w:val="20"/>
          <w:color w:val="auto"/>
        </w:rPr>
      </w:pPr>
    </w:p>
    <w:p>
      <w:pPr>
        <w:jc w:val="both"/>
        <w:ind w:firstLine="721"/>
        <w:spacing w:after="0" w:line="254" w:lineRule="auto"/>
        <w:rPr>
          <w:sz w:val="20"/>
          <w:szCs w:val="20"/>
          <w:color w:val="auto"/>
        </w:rPr>
      </w:pPr>
      <w:r>
        <w:rPr>
          <w:rFonts w:ascii="Times New Roman" w:cs="Times New Roman" w:eastAsia="Times New Roman" w:hAnsi="Times New Roman"/>
          <w:sz w:val="19"/>
          <w:szCs w:val="19"/>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 looking statements. Forward-looking statements are not guarantees of future performance and involve uncertainties, risks, assumptions and contingencies, many of which are outside our control. Assumptions upon which our forward -looking statements are based could prove to be inaccurate, and actual results may differ materially from those expressed in or implied by such forward- looking statements. Important factors that could cause our actual results to differ materially from our expectations are disclosed in this report, including, without limitation, delays related to the award of domestic and international contracts; failure to secure the renewal of key customer contracts; delays in customer programs; government shutdowns; delays in revenue recognition related to the timing of customer acceptance; the impact of potential information technology, cybersecurity or data security breaches; changes in domestic and foreign government spending and budgetary, procurement and trade policies adverse to our businesses; the impact of the Russia-Ukraine conflict or conflicts in the Middle East, including the potential for broad economic disruption, increased global tensions, or potential disruptions to customer operations, procurement activities, transportation networks and project timing; global economic uncertainty, including the impact of tariffs; material delays and cancellations of orders or deliveries thereon, supply chain and transportation networks disruptions, plant closures, or other adverse impacts on our ability to execute business plans; unfavorable currency exchange rate fluctuations; unfavorable interest rate fluctuations; the effect of changes in tax legislation; market acceptance of our new and existing technologies, products and services; our ability to win new business and convert any orders received to sales within the current fiscal year; contract and regulatory compliance matters, or actions, which if brought, could result in judgments, settlements, fines, injunctions, debarment or penalties; and other risks and uncertainties, including but not limited to those factors described in Part I, Item 1, “Business,” Part I, Item 1A, “Risk Factors” and Part II, Item 7, “Management’s Discussion and Analysis of Financial Condition and Results of Operations” as well as factors described elsewhere in this report and other documents filed by us from time to time with the Securities and Exchange Commission (“SEC”).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to update any forward-looking statement that becomes untrue because of subsequent events, new information, or otherwise, except to the extent required to do so under federal securities laws.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3" w:lineRule="exact"/>
        <w:rPr>
          <w:sz w:val="20"/>
          <w:szCs w:val="20"/>
          <w:color w:val="auto"/>
        </w:rPr>
      </w:pPr>
    </w:p>
    <w:p>
      <w:pPr>
        <w:jc w:val="both"/>
        <w:ind w:firstLine="721"/>
        <w:spacing w:after="0" w:line="252" w:lineRule="auto"/>
        <w:rPr>
          <w:sz w:val="20"/>
          <w:szCs w:val="20"/>
          <w:color w:val="auto"/>
        </w:rPr>
      </w:pPr>
      <w:r>
        <w:rPr>
          <w:rFonts w:ascii="Times New Roman" w:cs="Times New Roman" w:eastAsia="Times New Roman" w:hAnsi="Times New Roman"/>
          <w:sz w:val="20"/>
          <w:szCs w:val="20"/>
          <w:color w:val="auto"/>
        </w:rPr>
        <w:t>OSI Systems, Inc., together with our subsidiaries, is a vertically integrated designer and manufacturer of specialized electronic systems and components for critical applications. We sell our products and provide related services in diversified markets, including homeland security, healthcare, defense and aerospace. Our company is incorporated in the State of Delaware and our principal office is located at 12525 Chadron Avenue, Hawthorne, California 90250.</w:t>
      </w:r>
    </w:p>
    <w:p>
      <w:pPr>
        <w:spacing w:after="0" w:line="195"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We have three operating divisions: (a) Security, providing security and inspection systems, turnkey security screening solutions, and high -power radio frequency systems; (b) Optoelectronics and Manufacturing, providing specialized electronic components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spacing w:after="0" w:line="176" w:lineRule="exact"/>
        <w:rPr>
          <w:sz w:val="20"/>
          <w:szCs w:val="20"/>
          <w:color w:val="auto"/>
        </w:rPr>
      </w:pPr>
    </w:p>
    <w:p>
      <w:pPr>
        <w:jc w:val="both"/>
        <w:ind w:firstLine="720"/>
        <w:spacing w:after="0" w:line="243" w:lineRule="exact"/>
        <w:rPr>
          <w:sz w:val="20"/>
          <w:szCs w:val="20"/>
          <w:color w:val="auto"/>
        </w:rPr>
      </w:pPr>
      <w:r>
        <w:rPr>
          <w:rFonts w:ascii="Times New Roman" w:cs="Times New Roman" w:eastAsia="Times New Roman" w:hAnsi="Times New Roman"/>
          <w:sz w:val="20"/>
          <w:szCs w:val="20"/>
          <w:color w:val="auto"/>
        </w:rPr>
        <w:t xml:space="preserve">We sell our security and inspection solutions and healthcare products primarily to end </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users, while we design and manufacture our optoelectronic devices and value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added subsystems and provide electronics manufacturing services primarily for original equipment manufacturer (OEM) customers.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1347" w:right="540" w:bottom="0" w:gutter="0" w:footer="0" w:header="0"/>
          <w:type w:val="continuous"/>
        </w:sectPr>
      </w:pPr>
    </w:p>
    <w:bookmarkStart w:id="15" w:name="page16"/>
    <w:bookmarkEnd w:id="15"/>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Division. </w:t>
      </w:r>
      <w:r>
        <w:rPr>
          <w:rFonts w:ascii="Times New Roman" w:cs="Times New Roman" w:eastAsia="Times New Roman" w:hAnsi="Times New Roman"/>
          <w:sz w:val="20"/>
          <w:szCs w:val="20"/>
          <w:color w:val="auto"/>
        </w:rPr>
        <w:t>A variety of technologies are currently used globally in non-intrusive security and inspection systems,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transmission and backscatter X-ray interrogation, 3 -D computed tomography, radiation monitoring, metal detection, millimeter wave imaging, chemical trace detection, and optical inspection. We believe that the market for security and inspection products will continue to be affected by the threat of terrorist incidents, drug and human trafficking, border security, gun violence, and by new government mandates and appropriations for security and inspection products both in the United States and internationally.</w:t>
      </w:r>
    </w:p>
    <w:p>
      <w:pPr>
        <w:spacing w:after="0" w:line="157"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Security and inspection products are used at a wide range of facilities such as airports, border crossings, seaports, freight forwarding operations (to screen cargo before it is loaded onto airplanes), government and military installations, sports and concert venues, correctional facilities, and other locations where the interdiction of criminal activities is paramount. The U.S. Department of Homeland Security has undertaken numerous initiatives to prevent terrorists from entering the country, hijacking airplanes, and obtaining and transporting explosives, weapons and their components, and to prevent drug and human trafficking, among other serious crimes. These initiatives, such as the Customs-Trade Partnership Against Terrorism, the U.S. Transportation Security Administration’s Air Cargo Screening Mandate and the U.S. Customs and Border Protection Container Security Initiative, have resulted in increased demand for security and inspection products, as have similar programs undertaken by governments across the world.</w:t>
      </w:r>
    </w:p>
    <w:p>
      <w:pPr>
        <w:spacing w:after="0" w:line="162"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The international market for non-intrusive inspection equipment and related services also continues to expand as nations procure and operate equipment to meet their own security objectives and address evolving threats, including bolstering security operations at their own borders, transportation networks, critical infrastructure facilities, and other venues. Global initiatives like the European Union’s Customs Control Equipment Instrument (CCEI) and mandates for 100% cargo scanning at key international ports are driving increased demand for advanced inspection technologies by setting higher security standards, streamlining customs processes, and promoting greater interoperability among international security frameworks. The U.S. Transportation Security Administration and other international air transportation security regulators around the world require the screening of passengers, carry-on bags and air cargo. Several of our screening system models have been approved by the U.S. Transportation Security Administration, as well as by various international regulatory bodies, for this purpose and are procured and used by government agencies, airlines, airports, freight forwarders, transportation companies and other businesses to fulfill their compliance requirements. These and other regulations promulgated by international organizations have resulted in an ongoing global demand for airline, cargo, port and border security and inspection technologies.</w:t>
      </w:r>
    </w:p>
    <w:p>
      <w:pPr>
        <w:spacing w:after="0" w:line="16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global market for high-power radio frequency (RF) systems is expanding. High-power over-the-horizon radar (OTHR) can provide 24/7 coverage of air, land and orbital space well outside the political borders of most countries. The U.S. has an initiative called Golden Dome, which, among other objectives, seeks to expand air defense surveillance capability. Other countries may seek similar expanded capabilities. Global navigation systems such as GPS are under constant attack by threat actors. There is a global need for more secure and redundant systems to ensure continuous access to accurate position and time data. Secure communications networks face ever more sophisticated threats and thus demand for secure digital long-range communication is increasing.</w:t>
      </w:r>
    </w:p>
    <w:p>
      <w:pPr>
        <w:spacing w:after="0" w:line="15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Optoelectronics and Manufacturing Division. </w:t>
      </w:r>
      <w:r>
        <w:rPr>
          <w:rFonts w:ascii="Times New Roman" w:cs="Times New Roman" w:eastAsia="Times New Roman" w:hAnsi="Times New Roman"/>
          <w:sz w:val="20"/>
          <w:szCs w:val="20"/>
          <w:color w:val="auto"/>
        </w:rPr>
        <w:t>We believe that continued advances in technology have broadened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optoelectronics market by enabling the use of optoelectronic devices in a greater number of applications. In addition, we see the continued electrification and miniaturization of products to expand the markets for providing electronic manufacturing services to OEMs who increasingly see the benefit of outsourcing the design and manufacture of optoelectronic devices as well as value-added subsystems to fully-integrated, independent manufacturers, like us, which may offer greater specialization, broader expertise, and more flexibility to respond to short cycle times and quicker market expectations.</w:t>
      </w:r>
    </w:p>
    <w:p>
      <w:pPr>
        <w:spacing w:after="0" w:line="161"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Our optoelectronic devices are utilized in a wide range of applications across various markets, including aerospace and defense, automotive, medical imaging and diagnostics, life sciences and biotechnology, pharmaceuticals, nanotechnology, telecommunications, construction, and homeland security. Medical applications for our devices include diagnostic and imaging products, patient monitoring equipment, and glucose monitors. Aerospace and defense applications for our devices include satellite navigation sensors, laser-guided munitions systems, range finders, and other applications that require the conversion of optical signals into electrical signals. Homeland security applications for our devices include X-ray imaging, chemical, biological, radiological, nuclear, and explosive-based detection systems. Our optoelectronic devices and value-added subsystems are also used in a wide range of measurement control, monitoring, and industrial applications, serving as key components in telecommunications technologies. We also offer electronics manufacturing services to broader markets, as well as to our optoelectronics customers and our Security and Healthcare divisions. We offer full turnkey solutions as well as printed circuit board assembly, cable and harness assembly, liquid crystal displays, and box-build manufacturing services, in which we provide product design and development, supply chain management, and production manufacturing services. Additionally, our North America based flexible circuit businesses offer design expertise, fabrication capabilities, and assembly of flexible and rigid circuit boards for the growing North American manufacturing and product development markets for industrial, medical, military, and consumer applications.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800"/>
          </w:cols>
          <w:pgMar w:left="540" w:top="1349" w:right="540" w:bottom="0" w:gutter="0" w:footer="0" w:header="0"/>
          <w:type w:val="continuous"/>
        </w:sectPr>
      </w:pPr>
    </w:p>
    <w:bookmarkStart w:id="16" w:name="page17"/>
    <w:bookmarkEnd w:id="16"/>
    <w:p>
      <w:pPr>
        <w:jc w:val="both"/>
        <w:ind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Healthcare Division. </w:t>
      </w:r>
      <w:r>
        <w:rPr>
          <w:rFonts w:ascii="Times New Roman" w:cs="Times New Roman" w:eastAsia="Times New Roman" w:hAnsi="Times New Roman"/>
          <w:sz w:val="20"/>
          <w:szCs w:val="20"/>
          <w:color w:val="auto"/>
        </w:rPr>
        <w:t>Healthcare has been, and we believe will continue to be, a growing economic sector throughout much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world. Developing countries in Latin America and the Asia-Pacific region are expected to continue to build healthcare infrastructure to serve expanding middle class populations. In developed areas, especially the United States, Europe, and mature Asian countries, aging populations and extended life expectancy are projected to fuel growth in healthcare for the foreseeable future.</w:t>
      </w:r>
    </w:p>
    <w:p>
      <w:pPr>
        <w:spacing w:after="0" w:line="191"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While we believe that the healthcare industry will continue to grow throughout much of the world, many factors are forcing healthcare providers to do more with less. These factors include inflationary pressures, labor shortages and unfavorable shifts in payor mix. The COVID-19 pandemic strained healthcare provider resources, placing increased focus on the advantages of remote monitoring and products which can be deployed flexibly, enabling hospitals to quickly reconfigure and adapt to unexpected changes. Our customers expect clinical value, economic value, and clinical decision support. Positioning our current healthcare products to demonstrate the competitive value in total cost of ownership is increasingly important in this environment. At the same time, the widespread introduction of mobile devices into the healthcare environment is creating an emerging demand for patient data acquisition and distribution. Our Healthcare division designs, manufactures and markets devices and software that respond to these factors, helping hospitals reduce costs, make better-informed clinical decisions, and more fully utilize resources.</w:t>
      </w:r>
    </w:p>
    <w:p>
      <w:pPr>
        <w:spacing w:after="0" w:line="20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are a global manufacturer and distributor of patient monitoring, cardiology and remote monitoring, and connected care solutions for use in hospitals, medical clinics and physician offices. We design, manufacture and market patient monitoring solutions for critical, sub-acute and perioperative care areas of the hospital, wired and wireless networks and ambulatory blood pressure monitors, all aimed at providing caregivers with timely patient information. Our cardiology and remote monitoring systems include Holter recorders and analyzers, ambulatory blood pressure monitors, resting and stress electrocardiography (ECG) devices, and ECG management software systems and related software and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Growth Strategy</w:t>
      </w:r>
    </w:p>
    <w:p>
      <w:pPr>
        <w:spacing w:after="0" w:line="243"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We believe that one of our primary competitive strengths is our expertise in designing and manufacturing cost-effective specialized electronic systems and components for critical applications. As a result, we will continue to leverage such expertise and capacity to gain price, performance and agility advantages over our competitors in the security, healthcare and optoelectronics fields, and to translate such advantages into profitable growth in these fields. At the same time, we continually seek to identify new markets in which our core expertise and capacity will provide us with competitive advantages. Key elements of our growth strategy include:</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Capitalizing on Global Reach. </w:t>
      </w:r>
      <w:r>
        <w:rPr>
          <w:rFonts w:ascii="Times New Roman" w:cs="Times New Roman" w:eastAsia="Times New Roman" w:hAnsi="Times New Roman"/>
          <w:sz w:val="20"/>
          <w:szCs w:val="20"/>
          <w:color w:val="auto"/>
        </w:rPr>
        <w:t>We operate from multiple locations throughout the world. We view our international operations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providing an important strategic advantage over competitors. First, our international manufacturing facilities allow us to take advantage of competitive labor rates in order to lower our manufacturing costs. Second, our international offices strengthen our sales and marketing efforts and our ability to service and repair our systems by providing direct access to growing markets and to our existing international customer base. Third, our international manufacturing locations allow us to reduce delivery times to our global customer base. We intend to continue to enhance our international manufacturing and sales capabilities.</w:t>
      </w:r>
    </w:p>
    <w:p>
      <w:pPr>
        <w:spacing w:after="0" w:line="199"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Capitalizing on Vertical Integration. </w:t>
      </w:r>
      <w:r>
        <w:rPr>
          <w:rFonts w:ascii="Times New Roman" w:cs="Times New Roman" w:eastAsia="Times New Roman" w:hAnsi="Times New Roman"/>
          <w:sz w:val="20"/>
          <w:szCs w:val="20"/>
          <w:color w:val="auto"/>
        </w:rPr>
        <w:t>Our vertical integration provides several advantages across all our divisions.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advantages include reduced manufacturing and delivery times, lower costs due to our access to competitive international labor markets and direct sourcing of raw materials and subcomponents. We also believe that we offer significant added value to our customers by providing a full range of vertically-integrated services, including component design and customization, subsystem concept design and application engineering, product development and prototyping, efficient preproduction and short run manufacturing and competitive mass production capabilities. We believe that our vertical integration differentiates us from many of our competitors and provides value to our customers who can rely on us to be an integrated and comprehensive supplier.</w:t>
      </w:r>
    </w:p>
    <w:p>
      <w:pPr>
        <w:spacing w:after="0" w:line="201"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Capitalizing on the Market for Security and Inspection Systems. </w:t>
      </w:r>
      <w:r>
        <w:rPr>
          <w:rFonts w:ascii="Times New Roman" w:cs="Times New Roman" w:eastAsia="Times New Roman" w:hAnsi="Times New Roman"/>
          <w:sz w:val="20"/>
          <w:szCs w:val="20"/>
          <w:color w:val="auto"/>
        </w:rPr>
        <w:t>The trend toward increased screening of goods entering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departing from ports and crossing borders has resulted, and may continue to result in, the growth in the market for cargo inspection systems and turnkey security screening services that are capable of inspecting shipping containers (including trucks and rail cars) for contraband and assisting customs officials in the verification of shipping manifests. Package and cargo screening by freight forwarders, airlines and air cargo companies represents a growing sector, as regulations in the United States and Europe have continued to require screening of air cargo shipments. In Europe, increasing investment in border security and immigration management to combat illegal smuggling, unauthorized border crossings and other cross-border threats are creating additional growth opportunities for our cargo and vehicle inspection solutions as well as our biometric identity verification screening technologies. We are capitalizing on opportunities to replace, service and upgrade existing security installations, and offering turnkey security screening solutions in which we are constructing, staffing and/or operating security screening checkpoints for our customers.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1349" w:right="540" w:bottom="0" w:gutter="0" w:footer="0" w:header="0"/>
          <w:type w:val="continuous"/>
        </w:sectPr>
      </w:pPr>
    </w:p>
    <w:bookmarkStart w:id="17" w:name="page18"/>
    <w:bookmarkEnd w:id="17"/>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We expect that a market for software-as-a-service (SaaS) platforms that are capable of integrating the data that security inspection systems produce with related information derived from vehicle license plates, cargo container numbers, drivers’ licenses, government databases, and other sources will also continue to develop, mature and grow, particularly as customers shift their operating procedures to take advantage of secure, cloud-based, networking technologies. We are a leader in the development of these platforms, including the transmission of such data to operators that may be working within secure, remote screening facilities hundreds or thousands of miles away from the security checkpoint. Our platforms are used by customs and tax authorities in the United States, Europe, Middle East, Oceania and Latin America to screen millions of containers and vehicles. We believe that government agencies and commercial customers will continue to rely on such SaaS offerings to review and adjudicate screening decisions remotely, over secure networks, as well as to communicate with and monitor the performance of their employees working on the ground at distant ports, border crossings and other checkpoints. In addition, we deliver inspection algorithms combining data and image information into SaaS integrated operations.</w:t>
      </w:r>
    </w:p>
    <w:p>
      <w:pPr>
        <w:spacing w:after="0" w:line="20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Finally, we also intend to continue to develop new security and inspection products and technologies, including software and algorithms, and to enhance our current product and service offerings through internal research and development and selective acquisitions.</w:t>
      </w:r>
    </w:p>
    <w:p>
      <w:pPr>
        <w:spacing w:after="0" w:line="186"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Improving and Complementing Existing Medical Technologies. </w:t>
      </w:r>
      <w:r>
        <w:rPr>
          <w:rFonts w:ascii="Times New Roman" w:cs="Times New Roman" w:eastAsia="Times New Roman" w:hAnsi="Times New Roman"/>
          <w:sz w:val="20"/>
          <w:szCs w:val="20"/>
          <w:color w:val="auto"/>
        </w:rPr>
        <w:t>We develop and market patient monitoring systems,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cardiology and remote monitoring products, connected care solutions, remote clinical monitoring, clinical decision support, and associated supplies and accessories. Our efforts to develop new products and improve our existing medical technologies are focused on the needs of healthcare organizations, caregivers, and their patients. Our efforts to improve existing medical technologies concentrate on providing products that are flexible and intuitive to use so that clinicians can deliver accurate, precise, reliable and cost-effective care.</w:t>
      </w:r>
    </w:p>
    <w:p>
      <w:pPr>
        <w:spacing w:after="0" w:line="200"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Selectively Entering New Markets. </w:t>
      </w:r>
      <w:r>
        <w:rPr>
          <w:rFonts w:ascii="Times New Roman" w:cs="Times New Roman" w:eastAsia="Times New Roman" w:hAnsi="Times New Roman"/>
          <w:sz w:val="20"/>
          <w:szCs w:val="20"/>
          <w:color w:val="auto"/>
        </w:rPr>
        <w:t>We intend to continue to selectively enter new markets that complement our existing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capabilities in the design, development and manufacture of specialized electronic systems and components for critical applications such as security inspection, patient monitoring and cardiology and remote monitoring. We believe that by manufacturing products that rely on our existing technological capabilities, we will leverage our integrated design and manufacturing infrastructure to build a larger presence in new markets that present attractive competitive dynamics. We intend to achieve this strategy through internal growth and through selective acquisitions.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Acquiring New Technologies and Companies. </w:t>
      </w:r>
      <w:r>
        <w:rPr>
          <w:rFonts w:ascii="Times New Roman" w:cs="Times New Roman" w:eastAsia="Times New Roman" w:hAnsi="Times New Roman"/>
          <w:sz w:val="20"/>
          <w:szCs w:val="20"/>
          <w:color w:val="auto"/>
        </w:rPr>
        <w:t>Our success depends in part on our ability to continually enhance and broaden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product offerings in response to changing technologies, customer demands and competitive pressures. We have developed expertise in our various lines of business and other areas through internal research and development efforts, as well as through selective acquisitions. We expect to continue to seek acquisition opportunities to broaden our technological expertise and capabilities, lower our manufacturing costs and facilitate our entry into new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Technology</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design, develop, manufacture and sell products ranging from security and inspection systems to patient monitoring and cardiology and remote monitoring systems to discrete optoelectronic devices and value-added subsystems.</w:t>
      </w:r>
    </w:p>
    <w:p>
      <w:pPr>
        <w:spacing w:after="0" w:line="167"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and Inspection Products and Solutions. </w:t>
      </w:r>
      <w:r>
        <w:rPr>
          <w:rFonts w:ascii="Times New Roman" w:cs="Times New Roman" w:eastAsia="Times New Roman" w:hAnsi="Times New Roman"/>
          <w:sz w:val="20"/>
          <w:szCs w:val="20"/>
          <w:color w:val="auto"/>
        </w:rPr>
        <w:t>We design, manufacture and market security and inspection systems globally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end users primarily under the “Rapiscan” trade name. Our Security products are used to inspect baggage, parcels, cargo, people, vehicles and other objects for various contraband and prohibited items including weapons, explosives, drugs, biosecurity threats, and nuclear materials. These systems are also used for the safe, accurate and efficient verification of cargo manifests for the purpose of assessing duties and monitoring the export and import of controlled materials. Our Security products fall into the following categories: baggage and parcel inspection; cargo and vehicle inspection; hold (checked) baggage screening; people screening; radiation monitoring; explosive and narcotics trace detection; and optical inspection systems. We also offer turnkey security screening services, an enterprise inspection process integration platform, operator training, and the staffing and operation of security screening checkpoints under the “S2” trade name. We have recently expanded this capability to include management of full-service checkpoint operations at several U.S. airports as part of TSA’s privatized screening initiative under the Screening Partnership Program.</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1349" w:right="540" w:bottom="0" w:gutter="0" w:footer="0" w:header="0"/>
          <w:type w:val="continuous"/>
        </w:sectPr>
      </w:pPr>
    </w:p>
    <w:bookmarkStart w:id="18" w:name="page19"/>
    <w:bookmarkEnd w:id="18"/>
    <w:p>
      <w:pPr>
        <w:jc w:val="both"/>
        <w:ind w:firstLine="721"/>
        <w:spacing w:after="0" w:line="253" w:lineRule="auto"/>
        <w:rPr>
          <w:sz w:val="20"/>
          <w:szCs w:val="20"/>
          <w:color w:val="auto"/>
        </w:rPr>
      </w:pPr>
      <w:r>
        <w:rPr>
          <w:rFonts w:ascii="Times New Roman" w:cs="Times New Roman" w:eastAsia="Times New Roman" w:hAnsi="Times New Roman"/>
          <w:sz w:val="20"/>
          <w:szCs w:val="20"/>
          <w:color w:val="auto"/>
        </w:rPr>
        <w:t>In recent years, security and inspection products have increasingly been used at a wide range of facilities in addition to airports, such as border crossings, railways, seaports, cruise line terminals, sports and entertainment venues, freight forwarding operations, government and military installations and nuclear facilities. As a result of the use of security and inspection products at additional facilities, we have diversified our portfolio of security and inspection products and our sales channels.</w:t>
      </w:r>
    </w:p>
    <w:p>
      <w:pPr>
        <w:spacing w:after="0" w:line="191"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9"/>
          <w:szCs w:val="19"/>
          <w:color w:val="auto"/>
        </w:rPr>
        <w:t>Many of our security and inspection systems utilize dual-energy X-ray imaging technology, in combination with software enhanced imaging methods and algorithms to facilitate the detection of contraband materials and items such as explosives, weapons, and narcotics. Dual energy imaging allows some material properties to be identified. Additionally, dual-view X-ray imaging allows operators to view and examine objects from two directions simultaneously, thereby improving the operator’s ability to detect threats quickly and effectively. Some of our systems also use different types or combinations of X -ray imaging in addition to dual-energy, such as multi-view and computed tomography. Algorithms that process images and related data from these systems significantly enhance the overall probability of detection of a range of threat items and materials. Typical threat items include explosives and weapons.</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inspection systems range in size from compact, handheld and table-top products to large systems comprising entire buildings in which trucks, shipping containers or pallets are inspected. Many of our inspection systems are also designed to be upgradeable to respond to new customer requirements as they emerge or change.</w:t>
      </w:r>
    </w:p>
    <w:p>
      <w:pPr>
        <w:spacing w:after="0" w:line="186" w:lineRule="exact"/>
        <w:rPr>
          <w:sz w:val="20"/>
          <w:szCs w:val="20"/>
          <w:color w:val="auto"/>
        </w:rPr>
      </w:pPr>
    </w:p>
    <w:p>
      <w:pPr>
        <w:jc w:val="both"/>
        <w:ind w:firstLine="720"/>
        <w:spacing w:after="0" w:line="234" w:lineRule="exact"/>
        <w:rPr>
          <w:sz w:val="20"/>
          <w:szCs w:val="20"/>
          <w:color w:val="auto"/>
        </w:rPr>
      </w:pPr>
      <w:r>
        <w:rPr>
          <w:rFonts w:ascii="Times New Roman" w:cs="Times New Roman" w:eastAsia="Times New Roman" w:hAnsi="Times New Roman"/>
          <w:sz w:val="20"/>
          <w:szCs w:val="20"/>
          <w:color w:val="auto"/>
        </w:rPr>
        <w:t>Our cargo and vehicle inspection applications, in which vehicles, cars, trucks, shipping containers, pallets and other large objects can be inspected, are designed in various configurations, including mobile, portal, gantry, and rail systems. Our customers use these products to verify the contents of cars, trucks, rail cars and cargo containers and to detect the presence of contraband, including narcotics, weapons, explosives, radioactive and nuclear materials and other smuggled items. Most of our cargo and vehicle inspection systems employ X</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ray imaging to inspect objects and present images to an inspector, including shapes, sizes, locations and relative densities of the contents. These systems utilize transmission imaging, backscatter imaging, or both technologies in combination. We also manufacture passive radiation monitoring devices for detecting nuclear materials utilizing their gamma and neutron signatures. Additionally, we have developed isotope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specific identification algorithms. Many of these systems have been built to meet specific requirements of our government customers.</w:t>
      </w:r>
    </w:p>
    <w:p>
      <w:pPr>
        <w:spacing w:after="0" w:line="20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broad portfolio of non-intrusive inspection systems permits us to offer customers solutions that are tailored to their specific operational requirements, performance standards and budgets. In many cases, we have designed our systems to meet the performance specifications of relevant regulators, including authorities located in the United States, United Kingdom and European Union. This is particularly the case with respect to systems used (or approved for use) to perform screening of airline passenger carry-on items, hold (checked) baggage and air cargo.</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Security division also offers trace detection systems that are designed to detect trace amounts of explosives and narcotics and people screening products, such as walk-through metal detectors for use at security checkpoints at airports, government buildings, sports arenas and other venues. We also advance the application of radio frequency (RF) broadcast transmission and scientific and industrial equipment, specializing in the custom design, development, and manufacture of digital and analog high -power RF systems for a global customer base across various sectors, including science, industrial, government, defense, and broadcast objectives.</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Optoelectronic Devices and Manufacturing Services</w:t>
      </w:r>
      <w:r>
        <w:rPr>
          <w:rFonts w:ascii="Times New Roman" w:cs="Times New Roman" w:eastAsia="Times New Roman" w:hAnsi="Times New Roman"/>
          <w:sz w:val="20"/>
          <w:szCs w:val="20"/>
          <w:color w:val="auto"/>
        </w:rPr>
        <w:t>. Optoelectronic devices designed, manufactured, and sold through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Optoelectronics and Manufacturing division generally consist of both active and passive components. A collection of active components detects lights of different wavelengths and converts light into electrical signals. Meanwhile, another set of devices emits light in the form of lasers, transforming electricity into light. Passive components are responsible for amplifying, separating, and reflecting light. These products are manufactured in standard and customized configurations for specific applications and are offered either as components or as subsystems. Our optoelectronic products and services are provided primarily under the “OSI Optoelectronics” trade name.</w:t>
      </w:r>
    </w:p>
    <w:p>
      <w:pPr>
        <w:spacing w:after="0" w:line="19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to manufacturing standard and OEM products, we also specialize in designing and manufacturing customized, value-added subsystems for use in a wide range of products and equipment. An optoelectronic subsystem typically consists of one or more optoelectronic components that are combined with other electronic components and packaging for use in an end product. The composition of a subsystem can range from a simple assembly of various optoelectronic devices that are incorporated into other subsystems (for example, a printed circuit board containing our optoelectronic devices) to complete end products (for example, pulse oximetry equipment).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1349" w:right="540" w:bottom="0" w:gutter="0" w:footer="0" w:header="0"/>
          <w:type w:val="continuous"/>
        </w:sectPr>
      </w:pPr>
    </w:p>
    <w:bookmarkStart w:id="19" w:name="page20"/>
    <w:bookmarkEnd w:id="19"/>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provide electronics design and manufacturing services in North America, the United Kingdom, and the Asia Pacific region. Our offerings include printed circuit board assemblies, cable and harness assemblies, and complete systems. Our factories are equipped with automated surface mount technology (SMT) lines and other advanced automated manufacturing equipment. We offer these services to OEM customers and end users in various sectors, including medical, automotive, defense, aerospace, industrial, and consumer electronics applications that are not primarily focused on integrating optoelectronic devices. Additionally, we design and manufacture custom LCD displays for medical, industrial, and consumer electronics applications, as well as design and fabricate flex circuits for OEM customers ranging from the prototype stage to mass production. Our electronics manufacturing services are provided primarily under the trade names “OSI Electronics,” “Altaflex,” and “PFC Flexible Circuits.”</w:t>
      </w:r>
    </w:p>
    <w:p>
      <w:pPr>
        <w:spacing w:after="0" w:line="20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Patient Monitoring, Cardiology and Remote Monitoring, and Clinical Decision Support. </w:t>
      </w:r>
      <w:r>
        <w:rPr>
          <w:rFonts w:ascii="Times New Roman" w:cs="Times New Roman" w:eastAsia="Times New Roman" w:hAnsi="Times New Roman"/>
          <w:sz w:val="20"/>
          <w:szCs w:val="20"/>
          <w:color w:val="auto"/>
        </w:rPr>
        <w:t>Our Healthcare division designs,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manufactures and markets products globally to end users primarily under the “Spacelabs Healthcare” trade name.</w:t>
      </w:r>
    </w:p>
    <w:p>
      <w:pPr>
        <w:spacing w:after="0" w:line="167"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Spacelabs products include patient monitors for use in perioperative, critical care, step down telemetry, and emergency care environments with neonatal, pediatric and adult patients. Our patient monitoring systems include bedside monitors such as the Xprezzon and Qube as well as telemetry solutions. These bedside monitors and telemetry devices are networked via wired or wireless networks and data is distributed to centralized surveillance solutions (Xhibit Central Station) and integrated into hospital information systems via products such as Intesys Clinical Suite (ICS). These solutions enable caretakers to monitor critical physiological parameters and to respond to patient conditions by accessing patient data where and when it is required.</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Spacelabs SafeNSound™ assists hospitals in providing value-based care by streamlining workflows and improving communications. Features include comprehensive reporting tools, a communications dashboard for monitor technicians, and a device management system to admit patients to monitors/telemetry at the bedside. These tools help address top challenges facing hospitals today.</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Spacelabs’ predictive analytics clinical decision support solutions enable continuous patient surveillance and early identification of clinical deterioration across hospital care settings. The suite includes FDA-cleared and regulated products featuring the Rothman Index, a proprietary patient condition score available through EMR-integrated, web-based, or mobile app interfaces. Together, they support and accelerate care improvement initiatives that hospitals are actively prioritizing and investing in today.</w:t>
      </w:r>
    </w:p>
    <w:p>
      <w:pPr>
        <w:spacing w:after="0" w:line="19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Pathfinder SL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Lifescreen™ Pro analysis tools provide clinicians the ability to save Holter analysis time and to do detailed analysis when needed inside or outside the hospital. Our Eclipse Pro Holter recorders provide up to 14 days of 3-channel recording or up to 72 hours of 12 lead with pacing. Our Eclipse Mini Ambulatory ECG Recorder provides up to 30 days of 3-channel ECG and when paired with Lifescreen™ Pro clinicians can analyze millions of heart beats within minutes. We are also a supplier of ambulatory blood pressure (ABP) monitors which are routinely used by physicians around the world and by contract research organizations. Many physicians are using ambulatory blood pressure monitoring to detect “white coat” hypertension, a condition in which people experience elevated blood pressure in the doctor’s office but not in their daily lives. Ambulatory blood pressure monitoring helps improve diagnostic accuracy and minimize the associated costs of treatment. Spacelabs OnTrak™ ambulatory blood pressure system has been validated for both pediatric and adult patient types and includes the capability to measure activity correlation with non-invasive blood pressure readings.</w:t>
      </w:r>
    </w:p>
    <w:p>
      <w:pPr>
        <w:spacing w:after="0" w:line="21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Sentinel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Cardiology Information Management System is designed to provide an electronic, enterprise-wide scalable system for cardiology and remote monitoring. Sentinel integrates data from Spacelabs-branded products and third-party devices into a central enterprise-wide database system that can be accessed by care providers and medical facility administrators, thereby providing enhanced workflow and efficiencies. The system’s web-based solution enables the secure transfer of data from multiple remote sites. Sentinel supports mobile and remote working, taking ECG management to the point of care for flexible use of devices and capture of data.</w:t>
      </w:r>
    </w:p>
    <w:p>
      <w:pPr>
        <w:spacing w:after="0" w:line="20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capital-intensive products that our Healthcare division sells have supplies and accessories associated with them that can represent annuity revenue opportunities. Additionally, our Healthcare division manufactures multivendor compatible accessories for use with third-party devices.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1349" w:right="5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Markets, Customers and Applications</w:t>
      </w:r>
    </w:p>
    <w:p>
      <w:pPr>
        <w:spacing w:after="0" w:line="243"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and Inspection Products </w:t>
      </w:r>
      <w:r>
        <w:rPr>
          <w:rFonts w:ascii="Times New Roman" w:cs="Times New Roman" w:eastAsia="Times New Roman" w:hAnsi="Times New Roman"/>
          <w:sz w:val="20"/>
          <w:szCs w:val="20"/>
          <w:color w:val="auto"/>
        </w:rPr>
        <w:t>. Some security and inspection products were developed originally in response to civilian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airline hijackings. Consequently, certain of our security and inspection products have been and continue to be sold for use at airports. Our security and inspection products are also used for security and customs purposes at locations in addition to airports, such as border crossings, shipping ports, critical infrastructure facilities, international mail facilities, sports and entertainment venues, military and other government installations, freight forwarding facilities, high-profile locations and for high-profile events such as the Olympic Games, FIFA World Cup, and other sporting events. We also provide turnkey security screening solutions, which can include the construction, staffing and long-term operation of security screening locations for our customers.</w:t>
      </w:r>
    </w:p>
    <w:p>
      <w:pPr>
        <w:spacing w:after="0" w:line="20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customers include, among many others, the U.S. Department of Homeland Security, U.S. Department of War, U.S. Department of State, U.S. Department of Commerce, and U.S. Department of Justice, as well the ministries and departments of many international governments, including transportation and border control authorities and other critical infrastructure agencies.</w:t>
      </w:r>
    </w:p>
    <w:p>
      <w:pPr>
        <w:spacing w:after="0" w:line="18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contracts with the U.S. Government are generally subject to termination for convenience at the election of the U.S. Government. For the fiscal year ended June 30, 2026, our Security division’s direct sales to the U.S. Government were approximately $207.3 million. Additionally, certain of our contracts with foreign governments also contain provisions allowing the government to terminate a contract for convenience. For further discussion, please refer to Item 1A. “Risk Factors.”</w:t>
      </w:r>
    </w:p>
    <w:p>
      <w:pPr>
        <w:spacing w:after="0" w:line="19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Optoelectronic Devices and Electronics Manufacturing Services. </w:t>
      </w:r>
      <w:r>
        <w:rPr>
          <w:rFonts w:ascii="Times New Roman" w:cs="Times New Roman" w:eastAsia="Times New Roman" w:hAnsi="Times New Roman"/>
          <w:sz w:val="20"/>
          <w:szCs w:val="20"/>
          <w:color w:val="auto"/>
        </w:rPr>
        <w:t>Our optoelectronic devices and electronics are used in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broad range of products for various customers across the following market segments: defense, aerospace, and avionics; medical and life sciences; healthcare; telecommunications; homeland security; toll and traffic management; automotive and industrial.</w:t>
      </w:r>
    </w:p>
    <w:p>
      <w:pPr>
        <w:spacing w:after="0" w:line="18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Patient Monitoring, Cardiology and Remote Monitoring, and Connected Care Solutions. </w:t>
      </w:r>
      <w:r>
        <w:rPr>
          <w:rFonts w:ascii="Times New Roman" w:cs="Times New Roman" w:eastAsia="Times New Roman" w:hAnsi="Times New Roman"/>
          <w:sz w:val="20"/>
          <w:szCs w:val="20"/>
          <w:color w:val="auto"/>
        </w:rPr>
        <w:t>Our patient monitoring, cardiology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remote monitoring, and connected care solutions are manufactured and distributed globally for use throughout the hospital, in areas such as critical care, emergency, perioperative and step down telemetry units. Our solutions are also utilized in physicians’ offices, medical clinics and ambulatory surgery centers.</w:t>
      </w:r>
    </w:p>
    <w:p>
      <w:pPr>
        <w:spacing w:after="0" w:line="19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sell products directly to end customers, as well as through integrated delivery networks and group purchasing organizations in the U.S., the NHS Supplies Organization in the United Kingdom, UGAP in France, NUPCO in Saudi Arabia and to various government funded hospitals in the Middle East and several parts of Asia.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Sales and Service</w:t>
      </w:r>
    </w:p>
    <w:p>
      <w:pPr>
        <w:spacing w:after="0" w:line="24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market and sell our security and inspection products and turnkey security screening solutions globally through a direct sales and marketing staff located in North America, South America, Europe, Middle East, Australia, and Asia, in addition to an expansive global network of independent distributors. This sales organization is supported by a service organization located in the same region, as well as a global network of independent, authorized service providers.</w:t>
      </w:r>
    </w:p>
    <w:p>
      <w:pPr>
        <w:spacing w:after="0" w:line="19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market and sell our healthcare solutions globally through a direct sales and marketing staff located in North America, South America, Europe and Asia, in addition to a global network of independent distributors. We also support these sales and customer service efforts by providing operator in service training, comprehensive interactive eLearning for all products, software updates and upgrades and service training for customer biomedical staff and distributors. We provide this support via our international team of technical and clinical specialists.</w:t>
      </w:r>
    </w:p>
    <w:p>
      <w:pPr>
        <w:spacing w:after="0" w:line="197" w:lineRule="exact"/>
        <w:rPr>
          <w:sz w:val="20"/>
          <w:szCs w:val="20"/>
          <w:color w:val="auto"/>
        </w:rPr>
      </w:pPr>
    </w:p>
    <w:p>
      <w:pPr>
        <w:jc w:val="both"/>
        <w:ind w:firstLine="721"/>
        <w:spacing w:after="0" w:line="252" w:lineRule="auto"/>
        <w:rPr>
          <w:sz w:val="20"/>
          <w:szCs w:val="20"/>
          <w:color w:val="auto"/>
        </w:rPr>
      </w:pPr>
      <w:r>
        <w:rPr>
          <w:rFonts w:ascii="Times New Roman" w:cs="Times New Roman" w:eastAsia="Times New Roman" w:hAnsi="Times New Roman"/>
          <w:sz w:val="20"/>
          <w:szCs w:val="20"/>
          <w:color w:val="auto"/>
        </w:rPr>
        <w:t>We market and sell our optoelectronic devices and manufacturing services through both our direct sales and marketing teams located in North America, Europe, and Asia, as well as indirectly through a global network of independent sales representatives and distributors. Our sales staff is supported by a team of application engineers who provide technical assistance, including application design, custom tooling, process integration, and development of products that meet customer-defined specifications.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1347" w:right="540" w:bottom="0" w:gutter="0" w:footer="0" w:header="0"/>
          <w:type w:val="continuous"/>
        </w:sectPr>
      </w:pPr>
    </w:p>
    <w:bookmarkStart w:id="21" w:name="page22"/>
    <w:bookmarkEnd w:id="21"/>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consider our maintenance service operations to be an important element of our business. After the expiration of our standard product warranty periods, we are often engaged by customers, either directly or through our network of authorized service providers, to provide maintenance services for our security and inspection products. In addition, we provide a variety of service and support options for our healthcare customers, including hospital on-site repair and maintenance service and telephone support, parts exchange programs for customers with the internal expertise to perform a portion of their own service needs and a depot repair center at our division headquarters. We believe that our international maintenance service capabilities allow us to be competitive in selling our security and inspection systems as well as our patient monitoring, cardiology and remote monitoring, and connected care systems.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4"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Our security and inspection systems are designed and developed across a global network of engineering and software teams in the United States, United Kingdom, Australia, Germany, Singapore, and India. These teams work in an integrated manner across mechanical, electrical, and software disciplines to deliver complete inspection solutions. In addition to system design, we provide civil works and system integration services to deploy and connect our platforms within broader operational environments, including customer networks and external data systems. Our software teams play a central role in this integration, enabling secure data exchange, remote operations, and the continuous improvement of inspection performance. We support cooperative and government-funded research initiatives with universities, laboratories, and government agencies. Through ongoing software development and algorithm enhancements, we are able to address increasingly complex inspection challenges and deliver measurable improvements in detection, efficiency, and operational scalability.</w:t>
      </w:r>
    </w:p>
    <w:p>
      <w:pPr>
        <w:spacing w:after="0" w:line="205"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design and manufacture optoelectronic devices, and we provide electronics manufacturing services primarily in our facilities in the United States and internationally in the United Kingdom, Canada, India, Indonesia, Malaysia, and Mexico. We engineer and manufacture subsystems to solve the specific application needs of our OEM customers. Additionally, we provide comprehensive subsystem design and manufacturing solutions. We consider our engineering personnel to be an important extension of our core sales and marketing efforts. Our engineering teams also design and develop processes for fabricating our custom products, from semiconductor wafer-level to complete products, to ensure that our technology and products meet the latest market trends.</w:t>
      </w:r>
    </w:p>
    <w:p>
      <w:pPr>
        <w:spacing w:after="0" w:line="20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healthcare products are primarily designed at our facilities in the United States, the United Kingdom and India. These products include enterprise and embedded software, networking, connectivity, mechanical, electronic and software subsystems, most of which are designed by us. We are also currently involved, both in the United States and internationally, in research projects aimed at improving our medical systems and at expanding our current product lines.</w:t>
      </w:r>
    </w:p>
    <w:p>
      <w:pPr>
        <w:spacing w:after="0" w:line="19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addition to close collaboration with our customers in the design and development of our current products, we maintain an active program for the development and introduction of new products, enhancements and improvements to our existing products, including the implementation of new applications of our technology. We seek to further enhance our research and development program and consider such program to be an important element of our business and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Materials</w:t>
      </w:r>
    </w:p>
    <w:p>
      <w:pPr>
        <w:spacing w:after="0" w:line="24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currently manufacture our security and inspection systems domestically in California and Massachusetts, and internationally in Germany, Malaysia and the United Kingdom. We manufacture our RF products in Texas. We currently manufacture our patient monitoring and cardiology and remote monitoring systems in Washington state. We outsource manufacturing of certain of our supplies and accessories. We currently manufacture our optoelectronic devices and provide electronics manufacturing services domestically in California and New Jersey, and internationally in Canada, Mexico, India, Indonesia, Malaysia, and the United Kingdom. Most of our high-volume, labor-intensive manufacturing activities are performed at our facilities in Mexico, India, Indonesia and Malaysia.</w:t>
      </w:r>
    </w:p>
    <w:p>
      <w:pPr>
        <w:spacing w:after="0" w:line="20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Our ability to manufacture products and provide follow-on services from offices located in these regions enables us to remain in close proximity to our customers, which is a key component of our global strategy.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800"/>
          </w:cols>
          <w:pgMar w:left="540" w:top="1349" w:right="540" w:bottom="0" w:gutter="0" w:footer="0" w:header="0"/>
          <w:type w:val="continuous"/>
        </w:sectPr>
      </w:pPr>
    </w:p>
    <w:bookmarkStart w:id="22" w:name="page23"/>
    <w:bookmarkEnd w:id="22"/>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global manufacturing organization has expertise in optoelectronics, microelectronics, and integrated electronics for industrial and automation, medical, aerospace and defense industry applications. Our manufacturing includes semiconductor silicon and laser wafer processing and fabrication, optoelectronic device assembly and screening, thin and thick film microelectronic hybrid assemblies, surface mount and through-hole printed circuit board electronic assemblies, cable and harness assemblies, LCD and TFT displays, box-build manufacturing, and flex and rigid - flex circuitry on a complete turnkey basis. To support our manufacturing operations, we outsource specific requirements, including sheet metal fabrication and molding of plastic components.</w:t>
      </w:r>
    </w:p>
    <w:p>
      <w:pPr>
        <w:spacing w:after="0" w:line="200"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The principal raw materials and subcomponents used in producing our security and inspection systems consist of X-ray generators, linear accelerators, detectors, data acquisition and computer systems, conveyance systems, vehicles, and miscellaneous mechanical and electrical components. A large portion of the optoelectronic devices, subsystems and circuit card assemblies used in our inspection systems are manufactured in -house. A large proportion of our X-ray generators, linear accelerators, computers and conveyance systems used in our cargo and vehicle inspection systems are purchased from unaffiliated third-party providers. We purchase high-power RF vacuum tubes from foreign and domestic sources.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principal raw materials and subcomponents used in producing our healthcare products consist of printed circuit boards, housings, mechanical assemblies, pneumatic devices, touch screens, medical grade displays, cables, filters, textiles, fabric, gauges, fittings, tubing and packaging materials. We purchase finished medical devices, computers, peripheral accessories, and remote displays from unaffiliated third-party providers.</w:t>
      </w:r>
    </w:p>
    <w:p>
      <w:pPr>
        <w:spacing w:after="0" w:line="195"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The principal raw materials and subcomponents used in producing our optoelectronic devices and electronic subsystems consist of semiconductor wafers, electronic components, light-emitting diodes, scintillation crystals, passive optical components, printed circuit boards, and packaging materials. The silicon-based optoelectronic devices we manufacture are critical components in most of our products and subsystems. We purchase silicon wafers and other electronic components from unaffiliated third-party providers.</w:t>
      </w:r>
    </w:p>
    <w:p>
      <w:pPr>
        <w:spacing w:after="0" w:line="17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For cost, quality control, technological, and efficiency reasons, we purchase specific materials, parts, and components only from single vendors with whom we have ongoing relationships. We do, however, qualify alternative sources for many of our materials, parts, and components. We purchase most materials, parts, and components pursuant to purchase orders placed from time to time in the ordinary course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Technology and Cybersecurity Risk Management</w:t>
      </w:r>
    </w:p>
    <w:p>
      <w:pPr>
        <w:spacing w:after="0" w:line="244" w:lineRule="exact"/>
        <w:rPr>
          <w:sz w:val="20"/>
          <w:szCs w:val="20"/>
          <w:color w:val="auto"/>
        </w:rPr>
      </w:pPr>
    </w:p>
    <w:p>
      <w:pPr>
        <w:jc w:val="both"/>
        <w:ind w:firstLine="722"/>
        <w:spacing w:after="0" w:line="256" w:lineRule="auto"/>
        <w:rPr>
          <w:sz w:val="20"/>
          <w:szCs w:val="20"/>
          <w:color w:val="auto"/>
        </w:rPr>
      </w:pPr>
      <w:r>
        <w:rPr>
          <w:rFonts w:ascii="Times New Roman" w:cs="Times New Roman" w:eastAsia="Times New Roman" w:hAnsi="Times New Roman"/>
          <w:sz w:val="19"/>
          <w:szCs w:val="19"/>
          <w:color w:val="auto"/>
        </w:rPr>
        <w:t>We rely extensively on digital technology to conduct operations and engage with our customers and business partners. As the complexity of our engagements grows, so do the threats from cyber -intrusion, ransomware, denial of service, phishing, account takeover, data manipulation and other cyber-misconduct. To counter these threats, we have implemented an information security management system (ISMS) focused on data confidentiality, integrity, and availability. Our ISMS has been certified as ISO/IEC 27001-2022 compliant, and we engage independent third parties (ISO auditors and security compliance firms) to test and assess our cybersecurity controls annually. Similarly, we conduct external cyber-penetration testing annually to assess and improve our security posture and reduce cybersecurity risk. Through a combination of governance, risk, and compliance (GRC) resources, we also (i) proactively monitor IT controls to ensure compliance with legal and regulatory requirements, (ii) perform third-party risk management assessments, (iii) ensure essential business functions remain available during business disruptions, (iv) develop and update incident response plans to address potential weaknesses, and (v) maintain cyber-incident management and reporting procedures. Our ISMS and GRC processes are designed to prioritize IT and cybersecurity risk areas, identify solutions that minimize such risks, pursue optimal outcomes, and maintain compliance with contractual obligations. We maintain a global security operations center with the capability to investigate and trigger impact mitigation protocols in real-time. These capabilities allow us to reduce exposure should a security incident arise. For additional information regarding the risks associated with these matters, see Item 1A. “Risk Factors” and Item 1C. “Cybersecurity.”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 and Trade Names and Patents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Trademarks and Trade Names. </w:t>
      </w:r>
      <w:r>
        <w:rPr>
          <w:rFonts w:ascii="Times New Roman" w:cs="Times New Roman" w:eastAsia="Times New Roman" w:hAnsi="Times New Roman"/>
          <w:sz w:val="20"/>
          <w:szCs w:val="20"/>
          <w:color w:val="auto"/>
        </w:rPr>
        <w:t>We have used, registered and applied to register certain trademarks and service marks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distinguish our products, technologies and services from those of our competitors in the United States and in foreign countries. We monitor and, when necessary, enforce our trademark, service mark and trade name rights in the United States and abroad.</w:t>
      </w:r>
    </w:p>
    <w:p>
      <w:pPr>
        <w:spacing w:after="0" w:line="18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Patents. </w:t>
      </w:r>
      <w:r>
        <w:rPr>
          <w:rFonts w:ascii="Times New Roman" w:cs="Times New Roman" w:eastAsia="Times New Roman" w:hAnsi="Times New Roman"/>
          <w:sz w:val="19"/>
          <w:szCs w:val="19"/>
          <w:color w:val="auto"/>
        </w:rPr>
        <w:t>We possess rights to a number of U.S. and foreign patents relating to various aspects of our security and inspection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products, healthcare products and optoelectronic devices and subsystems. Our current patents will expire at various times between 2026 and 2044. While we continue to file new applications and pursue new patents, it remains possible that pending patent applications or</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1349" w:right="540" w:bottom="0" w:gutter="0" w:footer="0" w:header="0"/>
          <w:type w:val="continuous"/>
        </w:sectPr>
      </w:pPr>
    </w:p>
    <w:bookmarkStart w:id="23" w:name="page24"/>
    <w:bookmarkEnd w:id="23"/>
    <w:p>
      <w:pPr>
        <w:jc w:val="both"/>
        <w:spacing w:after="0" w:line="279" w:lineRule="auto"/>
        <w:rPr>
          <w:sz w:val="20"/>
          <w:szCs w:val="20"/>
          <w:color w:val="auto"/>
        </w:rPr>
      </w:pPr>
      <w:r>
        <w:rPr>
          <w:rFonts w:ascii="Times New Roman" w:cs="Times New Roman" w:eastAsia="Times New Roman" w:hAnsi="Times New Roman"/>
          <w:sz w:val="19"/>
          <w:szCs w:val="19"/>
          <w:color w:val="auto"/>
        </w:rPr>
        <w:t>other applications that may be filed may not result in issued patents. In addition, issued patents may not survive challenges to their validity or enforceability, or may be found to not be infringed by any third parties. Although we believe that our patents have value, our patents, or any additional patents that may be issued in the future, may not be able to provide meaningful protection from competition.</w:t>
      </w:r>
    </w:p>
    <w:p>
      <w:pPr>
        <w:spacing w:after="0" w:line="16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 xml:space="preserve">We believe that our trademarks and trade names and patents are important to our business. The loss of some of our trademarks or patents might have a negative impact on our financial results and operations. Nevertheless, with the exception of the loss of the Rapiscan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or Spacelabs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trademarks, the impact of the loss of any single trademark or patent would not likely have a material adverse effect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of Medical Devices</w:t>
      </w:r>
    </w:p>
    <w:p>
      <w:pPr>
        <w:spacing w:after="0" w:line="24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patient monitoring, cardiology and remote monitoring, and connected care systems we design, manufacture, and market are subject to regulation by numerous government agencies, principally the U.S. Food and Drug Administration (FDA), and by other federal, state, local and foreign authorities. These systems are also subject to various U.S. and foreign product performance and safety standards. Our medical device product candidates must undergo an extensive government regulatory clearance or approval process prior to sale in the United States and other countries, including submission demonstrating clinical safety and efficacy of intended use, as well as the continuing need for compliance with applicable laws and regulations. This may require significant interaction with regulatory agencies and the expenditure of substantial resources.</w:t>
      </w:r>
    </w:p>
    <w:p>
      <w:pPr>
        <w:spacing w:after="0" w:line="199"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United States FDA. </w:t>
      </w:r>
      <w:r>
        <w:rPr>
          <w:rFonts w:ascii="Times New Roman" w:cs="Times New Roman" w:eastAsia="Times New Roman" w:hAnsi="Times New Roman"/>
          <w:sz w:val="20"/>
          <w:szCs w:val="20"/>
          <w:color w:val="auto"/>
        </w:rPr>
        <w:t>In the United States, the FDA has broad regulatory powers with respect to preclinical and clinical testing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new medical devices and the designing, manufacturing, labeling, storage, record keeping, marketing, advertising, promotion, distribution, post-market monitoring and reporting and import and export of medical devices. Unless an exemption applies, federal law and FDA regulations require that all new or significantly modified medical devices introduced into the market be preceded either by a premarket notification clearance under section 510(k) of the Federal Food, Drug and Cosmetic Act (FFDCA), or an approved premarket approval (PMA) application. Under the FFDCA, medical devices are classified into one of three classes—Class I, Class II or Class III— depending on the degree of risk associated with each medical device and the extent of control needed to provide reasonable assurances with respect to safety and effectiveness. Class I devices are those for which safety and effectiveness can be reasonably assured by adherence to a set of regulations, referred to as General Controls, which require compliance with the applicable portions of the FDA’s Quality System Regulation (QSR) facility registration and product listing, reporting of adverse events and malfunctions and truthful and non-misleading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Class II devices are those that are subject to the General Controls, as well as Special Controls as deemed necessary by the FDA, which can include performance standards, guidelines and post-market surveillance. Most Class II devices are subject to premarket review and clearance by the FDA. Premarket review and clearance by the FDA for Class II devices is accomplished through the 510(k) premarket notification process.</w:t>
      </w:r>
    </w:p>
    <w:p>
      <w:pPr>
        <w:spacing w:after="0" w:line="193"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typically subject to the PMA application process, which is more costly and time consuming than the 510(k) process and requires substantial clinical data. To date, all of the patient monitoring and cardiology and remote monitoring systems we manufacture and sell in the United States have required only 510(k) pre-market notification clearance.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1349" w:right="540" w:bottom="0" w:gutter="0" w:footer="0" w:header="0"/>
          <w:type w:val="continuous"/>
        </w:sectPr>
      </w:pPr>
    </w:p>
    <w:bookmarkStart w:id="24" w:name="page25"/>
    <w:bookmarkEnd w:id="24"/>
    <w:p>
      <w:pPr>
        <w:jc w:val="both"/>
        <w:ind w:firstLine="721"/>
        <w:spacing w:after="0" w:line="242" w:lineRule="auto"/>
        <w:rPr>
          <w:sz w:val="20"/>
          <w:szCs w:val="20"/>
          <w:color w:val="auto"/>
        </w:rPr>
      </w:pPr>
      <w:r>
        <w:rPr>
          <w:rFonts w:ascii="Times New Roman" w:cs="Times New Roman" w:eastAsia="Times New Roman" w:hAnsi="Times New Roman"/>
          <w:sz w:val="20"/>
          <w:szCs w:val="20"/>
          <w:color w:val="auto"/>
        </w:rPr>
        <w:t>We are subject to pervasive and continuing post- approval governmental regulation, including, but not limited to, the registration and listing regulation, which requires manufacturers to register all manufacturing facilities and list all medical devices placed into commercial distribution; Quality System (also known as Good Manufacturing Practices) Regulations, which requires manufacturers, including third-party manufacturers, to follow stringent design, risk management, validation, testing, production, control, supplier and contractor selection, complaint handling, documentation and other quality assurance procedures during the manufacturing process; product and promotional labeling regulations; advertising and promotion requirements; restrictions on sale, distribution or use of a device; and the Medical Device Reporting (MDR) regulation, which requires that manufacturers report to the FDA if their device may have caused or contributed to a death or serious injury or malfunctioned in a way that would likely cause or contribute to a death or serious injury if it were to reoccur. Noncompliance with these standards can result in, among other things, fines, injunctions, civil penalties, recalls or seizures of products, total or partial suspension of production, refusal of the government to grant clearance or approval of devices, withdrawal of marketing approvals and criminal prosecutions. We believe that our design, manufacturing and quality control procedures comply with the FDA’s regulatory requirements. Our facilities, records and manufacturing processes are also subject to periodic scheduled and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20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In February 2024, the U.S. Food and Drug Administration (FDA) issued a final rule revising the Quality System Regulation (QSR) to align more closely with ISO 13485:2016, now referred to as the Quality Management System Regulation (QMSR), which became effective on February 2, 2026.</w:t>
      </w:r>
    </w:p>
    <w:p>
      <w:pPr>
        <w:spacing w:after="0" w:line="18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undertaken activities to assess and update our quality management system to align with QMSR requirements. Because our quality management system was already substantially aligned with ISO 13485, we do not expect the transition to QMSR to have a material impact on our operations or compliance posture. However, failure to fully implement or maintain compliance with QMSR could result in regulatory enforcement actions, which could adversely affect our business.</w:t>
      </w:r>
    </w:p>
    <w:p>
      <w:pPr>
        <w:spacing w:after="0" w:line="195"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Coverage and Reimbursement. </w:t>
      </w:r>
      <w:r>
        <w:rPr>
          <w:rFonts w:ascii="Times New Roman" w:cs="Times New Roman" w:eastAsia="Times New Roman" w:hAnsi="Times New Roman"/>
          <w:sz w:val="20"/>
          <w:szCs w:val="20"/>
          <w:color w:val="auto"/>
        </w:rPr>
        <w:t>Government and private sector initiatives to limit the growth of healthcare costs,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regulation and competitive pricing, coverage and payment policies, comparative effectiveness therapies, technology assessments and managed care arrangements, are continuing in many countries where we do business, including the United States, Europe and Asia. As a result of these changes, the marketplace has placed increased emphasis on the delivery of more cost-effective medical therapies. In addition, because there is generally no separate reimbursement from third-party payers to our customers for many of our products, the additional costs associated with the use of our products can impact the profit margin of our customers. Accordingly, these various initiatives have created increased price sensitivity over healthcare products generally and may impact demand for our products and technologies.</w:t>
      </w:r>
    </w:p>
    <w:p>
      <w:pPr>
        <w:spacing w:after="0" w:line="20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Healthcare cost containment efforts have also prompted domestic hospitals and other customers of medical devices to consolidate into larger purchasing groups to enhance purchasing power, and this trend is expected to continue. The medical device industry has also experienced some consolidation, partly in order to offer a broader range of products to large purchasers. As a result, transactions with customers are larger, more complex and tend to involve more long-term contracts than in the past. These larger customers, due to their enhanced purchasing power, may attempt to increase the pressure on product pricing.</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Healthcare Laws. </w:t>
      </w:r>
      <w:r>
        <w:rPr>
          <w:rFonts w:ascii="Times New Roman" w:cs="Times New Roman" w:eastAsia="Times New Roman" w:hAnsi="Times New Roman"/>
          <w:sz w:val="20"/>
          <w:szCs w:val="20"/>
          <w:color w:val="auto"/>
        </w:rPr>
        <w:t>In addition to FDA restrictions on marketing and promotion of drugs and devices, other federal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laws restrict our business practices. These laws include, without limitation, data privacy and security laws, anti-kickback and false claims laws, and transparency laws regarding payments or other items of value provided to healthcare providers.</w:t>
      </w:r>
    </w:p>
    <w:p>
      <w:pPr>
        <w:spacing w:after="0" w:line="186"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 a participant in the healthcare industry, we are subject to extensive regulations protecting the privacy and security of patient health information that we receive, including the Health Insurance Portability and Accountability Act of 1996, as amended by the Health Information Technology for Economic and Clinical Health Act of 2009, which was enacted as part of the American Recovery and Reinvestment Act of 2009 (collectively, “HIPAA”). Among other things, these regulations impose extensive requirements for maintaining the privacy and security of individually identifiable health information, known as “protected health information.” The HIPAA privacy regulations do not preempt state laws and regulations relating to personal information that may also apply to us. Our failure to comply with these regulations could expose us to civil and criminal sanctions.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1349" w:right="540" w:bottom="0" w:gutter="0" w:footer="0" w:header="0"/>
          <w:type w:val="continuous"/>
        </w:sectPr>
      </w:pPr>
    </w:p>
    <w:bookmarkStart w:id="25" w:name="page26"/>
    <w:bookmarkEnd w:id="25"/>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HIPAA provisions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statutes or specific intent to violate them to have committed a violation. Also, many states have similar fraud and abuse statutes or regulations that may be broader in scope and may apply regardless of payer, in addition to items and services reimbursed under Medicaid and other state programs.</w:t>
      </w:r>
    </w:p>
    <w:p>
      <w:pPr>
        <w:spacing w:after="0" w:line="20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knowingly and willfully offering, paying, soliciting or receiving any remuneration (including any kickback, bribe or rebate), directly or indirectly, overtly or covertly, to induce or in return for the purchasing, leasing, ordering, or arranging for or recommending the purchase, lease or order of items or services for which payment may be made,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Further, a claim including items or services resulting from a violation of the federal Anti-Kickback Statute constitutes a false or fraudulent claim for purposes of the federal civil False Claims Act.</w:t>
      </w:r>
    </w:p>
    <w:p>
      <w:pPr>
        <w:spacing w:after="0" w:line="202" w:lineRule="exact"/>
        <w:rPr>
          <w:sz w:val="20"/>
          <w:szCs w:val="20"/>
          <w:color w:val="auto"/>
        </w:rPr>
      </w:pPr>
    </w:p>
    <w:p>
      <w:pPr>
        <w:jc w:val="both"/>
        <w:ind w:firstLine="721"/>
        <w:spacing w:after="0" w:line="242" w:lineRule="auto"/>
        <w:rPr>
          <w:sz w:val="20"/>
          <w:szCs w:val="20"/>
          <w:color w:val="auto"/>
        </w:rPr>
      </w:pPr>
      <w:r>
        <w:rPr>
          <w:rFonts w:ascii="Times New Roman" w:cs="Times New Roman" w:eastAsia="Times New Roman" w:hAnsi="Times New Roman"/>
          <w:sz w:val="20"/>
          <w:szCs w:val="20"/>
          <w:color w:val="auto"/>
        </w:rPr>
        <w:t>The federal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Medical device manufacturers have been held liable under these laws if they are deemed to cause the submission of false or fraudulent claims by, for example, providing customers with inaccurate billing or coding information. When an entity is determined to have violated the False Claims Act, it may be subject to repayment of three times the actual damages sustained by the government, plus significant mandatory civil penalties for each separate false claim. Suits filed under the False Claims Act can be brought by any individual on behalf of the government and such individuals (known as “relators” or, more commonly, as “whistleblowers”) may share in any amounts paid by the entity to the government in fines or settlement. These whistleblower - initiated False Claims Act cases are commonly referred to as “qui tam” actions. False Claims Act cases may also be initiated by the U.S. Department of Justice or any of its local U.S. Attorneys’ Offices. In addition, certain states have enacted laws modeled after the federal False Claims Act. Qui tam actions have increased significantly in recent years, causing greater numbers of healthcare companies to have to defend a false claim action, even before the validity of the claim is established and even if the government decides not to intervene in the lawsuit. Healthcare companies may decide to agree to large settlements with the government and/or whistleblowers to avoid the cost and negative publicity associated with litigation.</w:t>
      </w:r>
    </w:p>
    <w:p>
      <w:pPr>
        <w:spacing w:after="0" w:line="211"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These laws impact the kinds of financial arrangements we may have with hospitals or other potential purchasers of our products. They particularly impact how we structure our sales offerings, including pricing, customer support, education and training programs, physician consulting, research grants and other service arrangements. If our operations are found to be in violation of any of the health regulatory laws described above or any other laws that apply to us, we may be subject to material penalties, including potentially significant criminal and civil and administrative penalties, damages, fines, disgorgement, imprisonment, exclusion from participation in government healthcare programs, contractual damages, reputational harm, and the curtailment or restructuring of our operations, any of which could materially and adversely affect our ability to operate our business and our results of operations.</w:t>
      </w:r>
    </w:p>
    <w:p>
      <w:pPr>
        <w:spacing w:after="0" w:line="201"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Additionally, there has been a trend towards increased federal and state regulation of payments and other transfers of value provided to healthcare professionals or entities. The federal Physician Payment Sunshine Act requires that certain device manufacturers track and report to the government information regarding payments and other transfers of value to physicians, certain other clinical staff, and teaching hospitals, as well as ownership and investment interests held by physicians and their family members. A manufacturer’s failure to submit timely, accurately and completely the required information for all payments, transfers of value or ownership or investment interests may result in civil monetary penalties for “knowing failures.” Certain states also mandate implementation of compliance programs, impose restrictions on device manufacturer marketing practices and/or require the tracking and reporting of gifts, compensation and other remuneration to healthcare professionals and entities.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1349" w:right="540" w:bottom="0" w:gutter="0" w:footer="0" w:header="0"/>
          <w:type w:val="continuous"/>
        </w:sectPr>
      </w:pPr>
    </w:p>
    <w:bookmarkStart w:id="26" w:name="page27"/>
    <w:bookmarkEnd w:id="26"/>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are subject to similar laws in foreign countries where we conduct business. For example, within the EU, the control of unlawful marketing activities is a matter of national law in each of the member states. The member states of the EU closely monitor perceived unlawful marketing activity by companies. We could face civil, criminal, and administrative sanctions if any member state determines that we have breached our obligations under its national laws. Industry associations also closely monitor the activities of member companies. If these organizations or authorities name us as having breached our obligations under their regulations, rules or standards, our reputation would suffer, and our business and financial condition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Foreign Healthcare Regulations</w:t>
      </w:r>
    </w:p>
    <w:p>
      <w:pPr>
        <w:spacing w:after="0" w:line="204"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We are also subject to regulation in the foreign countries in which we manufacture, market, and/or import our products. For example, the commercialization of certain products, including medical devices, in the EU is regulated under a system that presently requires all such products sold in the EU to bear the CE marking—an international symbol of adherence to the medical device regulations and standards of the EU. Our manufacturing facilities in Hawthorne, California; Snoqualmie, Washington; Johor Bahru, Malaysia; Batam, Indonesia; and Hyderabad, India are all certified to the International Organization for Standardization’s ISO 13485 standard for quality management. Our Hawthorne, California and Snoqualmie, Washington facilities are also certified to the requirements of Annex II, section 3 of the Directive 93/42/EEC on Medical Devices, which allows them to self-certify that manufactured products can bear the CE marking. Further, the implementation of the Restriction of Hazardous Substance Directive (“ROHS”) requires that certain products, including medical devices, shipped into the EU eliminate targeted ROHS substances.</w:t>
      </w:r>
    </w:p>
    <w:p>
      <w:pPr>
        <w:spacing w:after="0" w:line="16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International Medical Device Regulators Forum has implemented a global approach to auditing manufacturers of medical devices. This audit system, called the Medical Device Single Audit Program (“MDSAP”), provides for an annual audit of a medical device manufacturer by a certified body on behalf of various regulatory authorities. Current authorities participating in MDSAP include the Therapeutic Goods Administration of Australia, Brazil’s Agencia Nacional de Vigilancia Sanitaria, Health Canada, Japan’s Ministry of Health, Labour and Welfare, and the Japanese Pharmaceuticals and Medical Devices Agency and the FDA. It is expected that more regulatory authorities will participate in MDSAP in the future.</w:t>
      </w:r>
    </w:p>
    <w:p>
      <w:pPr>
        <w:spacing w:after="0" w:line="15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and other medical device manufacturers are confronted with major changes in the EU’s decades-old regulatory framework governing market access to the EU. The EU’s Medical Devices Regulation (“EU MDR”) has replaced the EU’s Medical Device Directive (93/42/EEC) and the EU’s Directive on active implantable medical devices (90/385/EEC). The EU MDR imposes stricter requirements for the marketing and sale of medical devices, including in the areas of clinical evaluation, quality systems and post-market surveillance, than the medical device directives replaced by the EU MDR.</w:t>
      </w:r>
    </w:p>
    <w:p>
      <w:pPr>
        <w:spacing w:after="0" w:line="157" w:lineRule="exact"/>
        <w:rPr>
          <w:sz w:val="20"/>
          <w:szCs w:val="20"/>
          <w:color w:val="auto"/>
        </w:rPr>
      </w:pPr>
    </w:p>
    <w:p>
      <w:pPr>
        <w:jc w:val="both"/>
        <w:ind w:firstLine="721"/>
        <w:spacing w:after="0" w:line="252" w:lineRule="auto"/>
        <w:rPr>
          <w:sz w:val="20"/>
          <w:szCs w:val="20"/>
          <w:color w:val="auto"/>
        </w:rPr>
      </w:pPr>
      <w:r>
        <w:rPr>
          <w:rFonts w:ascii="Times New Roman" w:cs="Times New Roman" w:eastAsia="Times New Roman" w:hAnsi="Times New Roman"/>
          <w:sz w:val="20"/>
          <w:szCs w:val="20"/>
          <w:color w:val="auto"/>
        </w:rPr>
        <w:t>Manufacturers of currently approved medical devices have a transition time to meet the requirements of the EU MDR with expiration of such transition time depending on the class of medical device being manufactured. The EU MDR differs in several important ways from the EU’s directives for medical devices and active implantable medical devices replaced thereby. The most significant changes in the regulations include:</w:t>
      </w:r>
    </w:p>
    <w:p>
      <w:pPr>
        <w:spacing w:after="0" w:line="170" w:lineRule="exact"/>
        <w:rPr>
          <w:sz w:val="20"/>
          <w:szCs w:val="20"/>
          <w:color w:val="auto"/>
        </w:rPr>
      </w:pPr>
    </w:p>
    <w:p>
      <w:pPr>
        <w:jc w:val="both"/>
        <w:ind w:left="1080" w:hanging="361"/>
        <w:spacing w:after="0" w:line="274"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definition of medical devices covered under the EU MDR is significantly expanded to include devices that may not have a medical intended purpose, such as colored contact lenses. Also included in the scope of the regulation are devices designed for the purpose of “prediction and prognosis” of a disease or other health condition.</w:t>
      </w:r>
    </w:p>
    <w:p>
      <w:pPr>
        <w:spacing w:after="0" w:line="161" w:lineRule="exact"/>
        <w:rPr>
          <w:rFonts w:ascii="Arial" w:cs="Arial" w:eastAsia="Arial" w:hAnsi="Arial"/>
          <w:sz w:val="20"/>
          <w:szCs w:val="20"/>
          <w:color w:val="auto"/>
        </w:rPr>
      </w:pPr>
    </w:p>
    <w:p>
      <w:pPr>
        <w:jc w:val="both"/>
        <w:ind w:left="1080" w:hanging="361"/>
        <w:spacing w:after="0" w:line="274"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Device manufacturers are required to identify at least one person within their organization who is ultimately responsible for all aspects of compliance with the requirements of the EU MDR. The organization must document the specific qualifications of this individual relative to the required tasks.</w:t>
      </w:r>
    </w:p>
    <w:p>
      <w:pPr>
        <w:spacing w:after="0" w:line="161" w:lineRule="exact"/>
        <w:rPr>
          <w:rFonts w:ascii="Arial" w:cs="Arial" w:eastAsia="Arial" w:hAnsi="Arial"/>
          <w:sz w:val="20"/>
          <w:szCs w:val="20"/>
          <w:color w:val="auto"/>
        </w:rPr>
      </w:pPr>
    </w:p>
    <w:p>
      <w:pPr>
        <w:ind w:left="1080" w:hanging="361"/>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EU MDR requires rigorous post-market oversight of medical devices.</w:t>
      </w:r>
    </w:p>
    <w:p>
      <w:pPr>
        <w:spacing w:after="0" w:line="228" w:lineRule="exact"/>
        <w:rPr>
          <w:rFonts w:ascii="Arial" w:cs="Arial" w:eastAsia="Arial" w:hAnsi="Arial"/>
          <w:sz w:val="20"/>
          <w:szCs w:val="20"/>
          <w:color w:val="auto"/>
        </w:rPr>
      </w:pPr>
    </w:p>
    <w:p>
      <w:pPr>
        <w:ind w:left="1080" w:hanging="361"/>
        <w:spacing w:after="0" w:line="292"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EU MDR allows the EU Commission or expert panels to publish “Common Specifications,” such as requirements for technical documentation, risk management, or clinical evaluation.</w:t>
      </w:r>
    </w:p>
    <w:p>
      <w:pPr>
        <w:spacing w:after="0" w:line="143" w:lineRule="exact"/>
        <w:rPr>
          <w:rFonts w:ascii="Arial" w:cs="Arial" w:eastAsia="Arial" w:hAnsi="Arial"/>
          <w:sz w:val="20"/>
          <w:szCs w:val="20"/>
          <w:color w:val="auto"/>
        </w:rPr>
      </w:pPr>
    </w:p>
    <w:p>
      <w:pPr>
        <w:ind w:left="1080" w:hanging="361"/>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Devices are to be reclassified according to risk, contact, duration, and invasiveness.</w:t>
      </w:r>
    </w:p>
    <w:p>
      <w:pPr>
        <w:spacing w:after="0" w:line="228" w:lineRule="exact"/>
        <w:rPr>
          <w:rFonts w:ascii="Arial" w:cs="Arial" w:eastAsia="Arial" w:hAnsi="Arial"/>
          <w:sz w:val="20"/>
          <w:szCs w:val="20"/>
          <w:color w:val="auto"/>
        </w:rPr>
      </w:pPr>
    </w:p>
    <w:p>
      <w:pPr>
        <w:ind w:left="1080" w:hanging="361"/>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Systematic clinical evaluation is required for Class IIa and Class IIb medical devices.</w:t>
      </w:r>
    </w:p>
    <w:p>
      <w:pPr>
        <w:spacing w:after="0" w:line="228" w:lineRule="exact"/>
        <w:rPr>
          <w:rFonts w:ascii="Arial" w:cs="Arial" w:eastAsia="Arial" w:hAnsi="Arial"/>
          <w:sz w:val="20"/>
          <w:szCs w:val="20"/>
          <w:color w:val="auto"/>
        </w:rPr>
      </w:pPr>
    </w:p>
    <w:p>
      <w:pPr>
        <w:ind w:left="1080" w:hanging="361"/>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All approved devices must be recertified in accordance with the EU MDR requirements.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1349" w:right="540" w:bottom="0" w:gutter="0" w:footer="0" w:header="0"/>
          <w:type w:val="continuous"/>
        </w:sectPr>
      </w:pPr>
    </w:p>
    <w:bookmarkStart w:id="27" w:name="page28"/>
    <w:bookmarkEnd w:id="27"/>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have a team dedicated to updating and revising key systems, processes, and product technical documentation to meet the EU MDR requirements.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Regulations</w:t>
      </w:r>
    </w:p>
    <w:p>
      <w:pPr>
        <w:spacing w:after="0" w:line="243"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We are subject to various environmental laws, directives, and regulations pertaining to the use, storage, handling and disposal of hazardous substances used, and hazardous waste generated, in the manufacture of our products. Such laws mandate the use of controls and practices designed to mitigate the impact of our operations on the environment, and under such laws we may be held liable for the costs associated with the remediation and removal of any unintended or previously unknown releases of hazardous substances on, beneath or from our property and associated operations, including the remediation of hazardous waste disposed off-site. Such laws may impose liability without regard to whether we knew of, or caused, the release of such hazardous substances. Any failure by us to comply with present or future regulations could subject us to the imposition of substantial fines, suspension of production, alteration of manufacturing processes or cessation of operations, any of which could have a material adverse effect on our business, financial condition and results of operations.</w:t>
      </w:r>
    </w:p>
    <w:p>
      <w:pPr>
        <w:spacing w:after="0" w:line="206"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We believe that, except to an extent that would not have a material adverse effect on our business, financial condition or results of operations, we are currently in compliance with all environmental regulations in connection with our manufacturing operations, and that we have obtained all environmental permits necessary to conduct our business. The amount and type of hazardous substances used, and hazardous waste generated, by us may increase in the future depending on changes in our operations. To ensure compliance and practice proper due diligence, we conduct appropriate environmental audits and investigations at our manufacturing facilities in North America, Asia Pacific, and Europe, and, to the extent practicable, on all new properties. Our manufacturing facilities conduct regular internal audits to ensure proper environmental permits and controls are in place to meet changes in operations. Third-party investigations address matters related to current and former occupants and operations, historical land use, and regulatory oversight and status of associated properties and operations (including surrounding properties). The purpose of these studies is to identify, as of the date of such report, potential areas of environmental concern related to past and present activities or from nearby operations. The scope and extent of each investigation is dependent upon the size, complexity and operation of the property and on recommendations by independent environmental consultants.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markets in which we operate are highly competitive and characterized by evolving customer needs and rapid technological change. We compete with other manufacturers, some of which have significantly greater financial, technical and marketing resources than we have. In addition, some competitors may have the ability to respond rapidly to new or emerging technologies, adapt more quickly to changes in customer requirements, have stronger customer relationships, have greater name recognition and devote greater resources to the development, promotion and sale of their products than we do. As a result, we may not be able to compete successfully against all designers and manufacturers of specialized electronic systems and components or within all markets for security and inspection systems, patient monitoring, cardiology and remote monitoring, or optoelectronic devices. Future competitive pressures may materially and adversely affect our business, financial condition and results of operations.</w:t>
      </w:r>
    </w:p>
    <w:p>
      <w:pPr>
        <w:spacing w:after="0" w:line="202"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In the security and inspection market, competition is based primarily on factors such as product performance specification standards, quality and reliability, maintenance and repair competency, government regulatory approvals and qualifications, the overall cost effectiveness of the system, prior customer relationships and reputation, technological capabilities of the products, price, local market presence, historical program execution experience, and breadth of sales and service organization. Competition results in price reductions and reduced margins and could result in loss of market share. Although our competitors offer products in competition with one or more of our products, we can supply a variety of system types and we offer among the widest arrays of security inspection solutions available from a single supplier. This variety of technologies also permits us to offer unique combinations and hybrid systems to our customers that utilize two or more of these technologies, thereby optimizing flexibility, performance and cost to meet each customer’s unique application requirements.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800"/>
          </w:cols>
          <w:pgMar w:left="540" w:top="1349" w:right="540" w:bottom="0" w:gutter="0" w:footer="0" w:header="0"/>
          <w:type w:val="continuous"/>
        </w:sectPr>
      </w:pPr>
    </w:p>
    <w:bookmarkStart w:id="28" w:name="page29"/>
    <w:bookmarkEnd w:id="28"/>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 the patient monitoring, cardiology and remote monitoring, clinical monitoring and connected care markets, competition is also based on a variety of factors including product performance, functionality, value and breadth of sales and service organization. Competition could result in price reductions, reduced margins and loss of our market share. We believe that our patient monitoring products are easier to use than the products of many of our competitors because we offer a consistent user interface throughout many of our product lines. We also believe that the capability of our monitoring systems to connect together, and to the hospital infrastructure, is a key competitive advantage. Further, while some of our competitors are also beginning to introduce portal technology, which allows remote access to data from the bedside monitor, central station or other point of care, we believe that our competing technologies bring valuable, instant access to labs, radiology and charting at the point of care. In the patient monitoring and connected care markets we face many large international players. Our competitive advantage in this market is via our solution delivery and workflow and communications software (SafeNSound) as well as our FDA cleared clinical decision support (Rothman Index) software. Our offering in this market in the USA uniquely addresses the needs of our customers.</w:t>
      </w:r>
    </w:p>
    <w:p>
      <w:pPr>
        <w:spacing w:after="0" w:line="20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In cardiology and remote monitoring our competitors are more regionally based. Our differentiators in these markets are our analyzer software solutions as well as our ambulatory blood pressure monitors.</w:t>
      </w:r>
    </w:p>
    <w:p>
      <w:pPr>
        <w:spacing w:after="0" w:line="16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the markets where we operate, providing optoelectronic devices and electronics manufacturing services, our customers evaluate us and our competitors based on several key factors. These include expertise in the design and development of optoelectronic devices, product quality, timely delivery, pricing, technical support, and the ability to offer fully integrated services that span application development and design through to production. Because our custom optoelectronic components and subsystems require a high degree of engineering expertise, there are very few significant competitors in the United States, Europe, or Asia. The competition in the broader electronic manufacturing services market ranges from multinational corporations with sales exceeding several billion dollars to large regional competitors and small local assembly companies. In our experience, the OEM customers to whom we provide such services often prefer to engage companies that offer both local and lower-cost offshore facilities. Along with a number of domestic competitors for these services, our high-volume, low-cost contract manufacturing locations in Southeast Asia compete with other manufacturers in the same region.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currently measure our backlog as quantifiable purchase orders or contracts that have been signed, for which revenues are expected to be recognized within the next five years. In instances where we are not able to estimate the value of a purchase order or contract, they are not included in backlog.</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ship most of our baggage and parcel inspection, people screening, trace detection, patient monitoring, cardiology, remote monitoring systems and optoelectronic devices and value-added subsystems within one to several months after receiving an order. However, such shipments may be delayed for a variety of reasons, including supply chain disruptions and any special design or requirements of the customer. In addition, large orders of security and inspection and RF transmission products and orders for our most complex systems typically require greater lead-times. Further, we provide turnkey screening services to certain customers for which we may recognize revenue over multi-year periods.</w:t>
      </w:r>
    </w:p>
    <w:p>
      <w:pPr>
        <w:spacing w:after="0" w:line="200"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Certain of our cargo and vehicle inspection systems and our radio frequency transmission products may require more than a year of lead-time. We have experienced some significant delays associated with shipments of our cargo and vehicle inspection systems to certain customers. Such delays can occur for many reasons, including: (i) additional time necessary to coordinate and conduct factory inspections with the customer before shipment; (ii) a customer’s need to engage in time-consuming site construction projects to accommodate the system, over which we may have no control or responsibility; (iii) additional fine tuning of such systems once they are installed; (iv) design or specification changes by the customer; (v) time needed to obtain export licenses and/or letters of credit; (vi) delays originating from other contractors on the project; and (vii) shipping, logistics, and supply chain constraints.</w:t>
      </w:r>
    </w:p>
    <w:p>
      <w:pPr>
        <w:spacing w:after="0" w:line="19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As of June 30, 2026, our consolidated backlog totaled approximately $1.9 billion, compared to $ 1.8 billion as of June 30, 2025. Sales orders underlying our backlog are firm orders, although, from time to time we may agree to permit a customer to cancel an order, or an order may be cancelled for other reasons. Variations in the size of orders, product mix, or delivery requirements, among other factors, may result in substantial fluctuations in backlog from period to period. Backlog as of any particular date should not be relied upon as indicative of our revenues for any future period and should not be considered a meaningful indicator of our performance on an annual or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1349" w:right="54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strength and talent of our workforce are critical to the success of our businesses, and we strive to attract, develop and retain personnel commensurate with the needs of our businesses. Our human capital management priorities are designed to support the execution of our business strategy and improve organizational effectiveness. We contribute to our employees’ financial, health, and social well-being through competitive compensation structures, including a robust employee stock purchase program and retirement benefits, as well as health and well-being programs focused on promoting the physical and mental health of our workforce. We also strive to create opportunities for career development and growth. We provide training and development programs to foster connections, leadership competency, and team and individual development, and we have a tuition reimbursement program to encourage ongoing education.</w:t>
      </w:r>
    </w:p>
    <w:p>
      <w:pPr>
        <w:spacing w:after="0" w:line="20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We understand the importance of a diverse workforce, and we are committed to upholding a culture of diversity, equity, and inclusion. We value the unique contributions of our employees, and we hold firm to the ideals of fairness, equal opportunity and mutual respect for all forms of diversity and differing abilities. We are committed to pay equity and protecting the rights of underrepresented groups within our organization, including women, racial and ethnic minorities, and members of the LGBTQ+ community. Our broader diversity strategies include focus at all levels of our organization, including senior management and our Board of Directors. As of June 30, 2026, 42.2% of our global workforce was female and 52.7% of our U.S. workforce was ethnically diverse.</w:t>
      </w:r>
    </w:p>
    <w:p>
      <w:pPr>
        <w:spacing w:after="0" w:line="18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June 30, 2026, we employed 7,806 people, of whom 4,708 were employed in manufacturing, 625 were employed in engineering or research and development, 703 were employed in administration, 347 were employed in sales and marketing and 1,423 were employed in service capacities. Of the total employees, 2,538 were employed in the Americas, 4,061 were employed in Asia and 1,207 were employed in Europe.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are subject to the informational requirements of the Exchange Act. Therefore, we file periodic reports, proxy statements and other information with the SEC. The SEC maintains an internet website (http://www.sec.gov) that contains reports, proxy statements and other information that issuers are required to file electronically.</w:t>
      </w:r>
    </w:p>
    <w:p>
      <w:pPr>
        <w:spacing w:after="0" w:line="186"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Our internet address is: http://www.osi-systems.com. The information found on, or otherwise accessible through, our website is not incorporated into, and does not form a part of this annual report on Form 10-K or any other report or document we file with or furnish to the SEC. We make available, free of charge through our internet website, our annual reports on Form 10-K, quarterly reports on Form 10-Q, current reports on Form 8-K, amendments to those reports filed or furnished pursuant to Section 13(a) or 15(d) of the Exchange Act, and reports filed pursuant to Section 16 of the Exchange Act, as soon as reasonably practicable after electronically filing such material with, or furnishing it to, the SEC. Also available on our website free of charge are our Corporate Governance Guidelines, the Charters of our Nominating and Governance, Audit, Compensation and Benefits, Technology, and Risk Management Committees of our Board of Directors and our Code of Ethics and Conduct (which applies to all members of our Board of Directors and employees, including our principal executive officer, principal financial officer and principal accounting officer). A copy of this annual report on Form 10-K is available without charge upon written request addressed to: c/o Secretary, OSI Systems, Inc., 12525 Chadron Avenue, Hawthorne, CA 90250 or by calling telephone number (310) 978-0516.</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800"/>
          </w:cols>
          <w:pgMar w:left="540" w:top="1347" w:right="54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Set forth below and elsewhere in this report and in other documents we file with the SEC are descriptions of the risks and uncertainties that could materially and adversely affect our business, financial condition and results of operations and could make an investment in our securities speculative or risky. We encourage you to carefully consider all such risk factors when making investment decisions regarding our company. If any such risks, or any other risks that we do not currently consider to be material, or which are not known to us, materialize, our business, financial condition and operating results could be materially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and Industry Risks</w:t>
      </w:r>
    </w:p>
    <w:p>
      <w:pPr>
        <w:spacing w:after="0" w:line="24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operators of, or algorithms installed on, our security and inspection systems fail to detect weapons, explosives or other devices or materials that are used to commit a crime, terrorist act or other mass casualty event, we could be exposed to product and professional liability and related claims for which we may not have adequate insurance coverage. </w:t>
      </w:r>
      <w:r>
        <w:rPr>
          <w:rFonts w:ascii="Times New Roman" w:cs="Times New Roman" w:eastAsia="Times New Roman" w:hAnsi="Times New Roman"/>
          <w:sz w:val="20"/>
          <w:szCs w:val="20"/>
          <w:color w:val="auto"/>
        </w:rPr>
        <w:t>Our business exposes us to potential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liability risks that are inherent in the development, manufacturing, sale, maintenance and repair of security and inspection systems, software and threat detection algorithms, as well as in the provision of training to our customers in the use and operation of such systems. Our customers use our security and inspection systems to help them detect items that could be used in performing terrorist acts, mass casualty events or other crimes. Some of our security and inspection systems require that an operator interpret an image of suspicious items within a bag, parcel, container, vehicle or other vessel. Others rely on threat detection algorithms, or use such algorithms to signal to the operator that further investigation is recommended. The selection, training, supervision, reliability and competence of such operators are often crucial to the detection of suspicious items.</w:t>
      </w:r>
    </w:p>
    <w:p>
      <w:pPr>
        <w:spacing w:after="0" w:line="20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Security inspection systems that rely on threat detection algorithms or that use such algorithms to signal to the operator that further investigation is recommended are sometimes referred to in the security industry as “automatic” detection systems. If such a system were to fail to signal when an explosive, weapon or other contraband was present, resulting in loss of life or damage, we would be subject to risk of significant product liability claims. Security inspection by such technological means is circumstance and application-specific. Our security and inspection systems offer significant capabilities, but also have performance limitations and cannot be designed to reveal or detect contraband under all circumstances, particularly if criminal actors successfully conceal such items. They can also malfunction or underperform, including if not properly maintained or repaired.</w:t>
      </w:r>
    </w:p>
    <w:p>
      <w:pPr>
        <w:spacing w:after="0" w:line="201"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We also offer various turnkey security screening solutions under which we perform some or all of the security screening tasks that have historically been performed by our customers, including the development, administration and performance of security screening procedures; operation of the security inspection systems; and analysis of images and information generated by such systems. Such projects expose us to professional liability risks that are inherent in performing security inspection services for the purpose of detecting contraband items, including items that could be used in performing terrorist acts, mass casualty events or other crimes. If a contraband item were to pass through the turnkey security services that we perform for a customer and be used to perform a terrorist act, mass casualty event or other crime, we would be subject to risk of significant professional liability claims for which adequate insurance coverage may not be available.</w:t>
      </w:r>
    </w:p>
    <w:p>
      <w:pPr>
        <w:spacing w:after="0" w:line="20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loss of certain of our customers, including government agencies that can modify or terminate agreements more easily than other commercial customers with which we contract, the failure to continue to diversify our customer base or the non-renewal of certain material contracts could have a negative effect on our reputation and could have a material adverse effect on our business, financial condition and results of operations. </w:t>
      </w:r>
      <w:r>
        <w:rPr>
          <w:rFonts w:ascii="Times New Roman" w:cs="Times New Roman" w:eastAsia="Times New Roman" w:hAnsi="Times New Roman"/>
          <w:sz w:val="19"/>
          <w:szCs w:val="19"/>
          <w:color w:val="auto"/>
        </w:rPr>
        <w:t>We sell many of our products to prominent, well-respected institutions, including agencies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departments of the U.S. Government, state and local governments, foreign governments, renowned hospitals and hospital networks, and large military defense and space industry contractors. Many of these larger customers spend considerable resources testing and evaluating our products and our design and manufacturing processes and services. Some of our smaller customers know this and rely on this as an indication of the quality and reliability of our products and services. As a result, part of our reputation and success depends on our ability to continue to sell to larger institutions that are known for demanding high standards of excellence. The loss or termination of a contract by such an institution, even if for reasons unrelated to the quality of our products or services, could therefore have a more wide-spread and potentially material adverse effect on our business, financial condition and results of operations.</w:t>
      </w:r>
    </w:p>
    <w:p>
      <w:pPr>
        <w:sectPr>
          <w:pgSz w:w="11880" w:h="15480" w:orient="portrait"/>
          <w:cols w:equalWidth="0" w:num="1">
            <w:col w:w="10800"/>
          </w:cols>
          <w:pgMar w:left="540" w:top="133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1336" w:right="540" w:bottom="0" w:gutter="0" w:footer="0" w:header="0"/>
          <w:type w:val="continuous"/>
        </w:sectPr>
      </w:pPr>
    </w:p>
    <w:bookmarkStart w:id="31" w:name="page32"/>
    <w:bookmarkEnd w:id="31"/>
    <w:p>
      <w:pPr>
        <w:jc w:val="both"/>
        <w:ind w:firstLine="72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acquisition and alliance activities could result in disruption of our ongoing business and other operational difficulties, unrecoverable costs, and other negative consequences, any of which could adversely impact our financial condition and results of operations. </w:t>
      </w:r>
      <w:r>
        <w:rPr>
          <w:rFonts w:ascii="Times New Roman" w:cs="Times New Roman" w:eastAsia="Times New Roman" w:hAnsi="Times New Roman"/>
          <w:sz w:val="19"/>
          <w:szCs w:val="19"/>
          <w:color w:val="auto"/>
        </w:rPr>
        <w:t>We intend to continue to make investments in companies, products and technologies, either through acquisitions,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investments or alliances. Acquisition and alliance activities often involve risks, including: (i) difficulty in assimilating the acquired operations and employees and realizing synergies; (ii) potential liabilities of, or claims against, an acquired company, some of which might not be known until after the acquisition; (iii) difficulty in managing product development activities with our alliance partners;</w:t>
      </w:r>
    </w:p>
    <w:p>
      <w:pPr>
        <w:spacing w:after="0" w:line="5" w:lineRule="exact"/>
        <w:rPr>
          <w:sz w:val="20"/>
          <w:szCs w:val="20"/>
          <w:color w:val="auto"/>
        </w:rPr>
      </w:pPr>
    </w:p>
    <w:p>
      <w:pPr>
        <w:jc w:val="both"/>
        <w:spacing w:after="0" w:line="241"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effectively coordinating sales and marketing efforts; (v) difficulty in combining product offerings and product lines quickly and effectively; (vi) difficulty in retaining the key employees of the acquired operation; (vii) disruption of our ongoing business, including diversion of management time; (viii) inability to successfully integrate the acquired technologies and operations into our businesses and maintain uniform standards, controls, policies and procedures; (ix) unanticipated changes in market or industry practices that adversely impact our strategic and financial expectations regarding an acquired company or acquired assets and require us to write off or dispose of such acquired company or assets; (x) lacking the experience necessary to enter into new product or technology markets successfully; and (xi) difficulty in integrating financial reporting systems and implementing controls, procedures and policies, including disclosure controls and procedures and internal control over financial reporting, appropriate for public companies of our size at companies that, prior to the acquisition, had lacked such controls, procedures and policies.</w:t>
      </w:r>
    </w:p>
    <w:p>
      <w:pPr>
        <w:spacing w:after="0" w:line="16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Integrating acquired businesses is complex, time consuming and expensive, and can negatively impact the effectiveness of our internal control over financial reporting. As a result of these and other risks, we cannot be certain that our acquisitions will be successful and will not materially adversely affect the conduct, operating results or financial condition of our business.</w:t>
      </w:r>
    </w:p>
    <w:p>
      <w:pPr>
        <w:spacing w:after="0" w:line="14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Substantial declines in crude oil prices or extended periods of low crude oil prices may adversely affect our business, financial condition, and results of operations. </w:t>
      </w:r>
      <w:r>
        <w:rPr>
          <w:rFonts w:ascii="Times New Roman" w:cs="Times New Roman" w:eastAsia="Times New Roman" w:hAnsi="Times New Roman"/>
          <w:sz w:val="20"/>
          <w:szCs w:val="20"/>
          <w:color w:val="auto"/>
        </w:rPr>
        <w:t>Some of our international customers have procurement budgets that are strongly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correlated with fluctuations in the price of crude oil. Historically, the market for crude oil has been volatile and unpredictable. Crude oil prices are subject to rapid and significant fluctuations in response to global events and relatively minor changes in supply and demand. While factors relating the price of crude oil to demand for our products and services are complex, a period of depressed crude oil prices may adversely affect our business, financial condition, and results of operations.</w:t>
      </w:r>
    </w:p>
    <w:p>
      <w:pPr>
        <w:spacing w:after="0" w:line="161"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Unfavorable currency exchange rate fluctuations could adversely affect our financial results. </w:t>
      </w:r>
      <w:r>
        <w:rPr>
          <w:rFonts w:ascii="Times New Roman" w:cs="Times New Roman" w:eastAsia="Times New Roman" w:hAnsi="Times New Roman"/>
          <w:sz w:val="19"/>
          <w:szCs w:val="19"/>
          <w:color w:val="auto"/>
        </w:rPr>
        <w:t>Our international sales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operations in foreign countries expose us to risks associated with fluctuating currency values and exchange rates. Gains and losses on the conversion of accounts receivable, accounts payable and other monetary assets and liabilities to U.S. dollars may contribute to fluctuations in our results of operations. We also use forward contracts which are intended to mitigate the impact of certain foreign currency exposures. These forward contracts may not completely offset foreign currency gains and losses. In addition, since we conduct business in currencies other than the U.S. dollar but report our financial results in U.S. dollars, increases or decreases in the value of the U.S. dollar relative to other currencies could have a material adverse effect on our business, financial condition and results of operations.</w:t>
      </w:r>
    </w:p>
    <w:p>
      <w:pPr>
        <w:spacing w:after="0" w:line="14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 budgeting process disruptions could reduce government spending, which could adversely impact our revenues, earnings, cash flows and financial condition. </w:t>
      </w:r>
      <w:r>
        <w:rPr>
          <w:rFonts w:ascii="Times New Roman" w:cs="Times New Roman" w:eastAsia="Times New Roman" w:hAnsi="Times New Roman"/>
          <w:sz w:val="20"/>
          <w:szCs w:val="20"/>
          <w:color w:val="auto"/>
        </w:rPr>
        <w:t>Funding for U.S. federal Government activities takes place on an annual basis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fiscal year beginning on October 1 and ending on September 30. In recent years, the budgeting process has often not been completed by October 1st, which has required the temporary extension of funding authority. This in turn can and has resulted in temporary Government shutdowns, causing delays in procurements and contract awards. Because the provision of appropriated funds is undertaken on an annual basis and subject to budgetary rules and requirements, there can be disruptions to federal funding of current and future procurements.</w:t>
      </w:r>
    </w:p>
    <w:p>
      <w:pPr>
        <w:spacing w:after="0" w:line="16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face aggressive competition in each of our operating divisions. If we do not compete effectively, our business will be harmed. </w:t>
      </w:r>
      <w:r>
        <w:rPr>
          <w:rFonts w:ascii="Times New Roman" w:cs="Times New Roman" w:eastAsia="Times New Roman" w:hAnsi="Times New Roman"/>
          <w:sz w:val="20"/>
          <w:szCs w:val="20"/>
          <w:color w:val="auto"/>
        </w:rPr>
        <w:t>We encounter aggressive competition from numerous competitors in each of our divisions. In the security and inspection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patient monitoring and cardiology systems markets, competition is based primarily on such factors as product performance, functionality and quality, prior customer relationships, technological capabilities of the product, price, certification by government authorities, past performance, local market presence and breadth of sales and service organization. In the optoelectronic devices and electronics manufacturing markets, competition is based primarily on factors such as expertise in the design and development of optoelectronic devices, product quality, timeliness of delivery, price, customer technical support and on the ability to provide fully-integrated services from application development and design through volume subsystem production. We may not be able to compete effectively with all of our competitors. To remain competitive, we must develop new products and enhance our existing products and services in a timely manner. We anticipate that we may have to downward adjust the prices of many of our products to stay competitive. In addition, new competitors may emerge and entire product lines or service offerings may be threatened by new technologies or market trends that reduce the value of these product lines or service offerings. Our failure to compete effectively could have a material adverse effect on our business, financial condition and results of operations.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1349" w:right="540" w:bottom="0" w:gutter="0" w:footer="0" w:header="0"/>
          <w:type w:val="continuous"/>
        </w:sectPr>
      </w:pPr>
    </w:p>
    <w:bookmarkStart w:id="32" w:name="page33"/>
    <w:bookmarkEnd w:id="32"/>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Healthcare cost containment pressures and legislative or regulatory reforms may affect our ability to sell our products profitably. </w:t>
      </w:r>
      <w:r>
        <w:rPr>
          <w:rFonts w:ascii="Times New Roman" w:cs="Times New Roman" w:eastAsia="Times New Roman" w:hAnsi="Times New Roman"/>
          <w:sz w:val="20"/>
          <w:szCs w:val="20"/>
          <w:color w:val="auto"/>
        </w:rPr>
        <w:t>Third-party payers globally are developing increasingly sophisticated methods of controlling healthcare costs which can limit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amount that healthcare providers may be willing to pay for medical devices. In the United States, hospital and other healthcare provider customers that purchase our products typically bill various third-party payers to cover all or a portion of the costs and fees associated with the procedures or tests in which our products are used and bill patients for any deductibles or copayments. Because there is often no separate reimbursement for our products, any decline in the amount payers are willing to reimburse our customers for the procedures and tests associated with our products could make it difficult for customers to continue using, or adopt, our products and create additional pricing pressure for us.</w:t>
      </w:r>
    </w:p>
    <w:p>
      <w:pPr>
        <w:spacing w:after="0" w:line="20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There have been, and we expect there will continue to be, legislative and regulatory proposals to change the healthcare system, and some could significantly affect the ways in which doctors, hospitals, healthcare systems and health insurance companies are compensated for the services they provide, which could have a material impact on our business. It is not clear at this time what changes may impact the ability of hospitals and hospital networks to purchase the patient monitoring, cardiology and remote monitoring, and connected care systems that we sell or if it will alter market-based incentives that hospitals and hospital networks currently face to continually improve, upgrade and expand their use of such equipment. Efforts by governmental and third-party payers to reduce healthcare costs or the implementation of new legislative reforms imposing additional government controls could cause a reduction in sales or in the selling price of our products, which could materially and adversely affect our business, financial condition and results of operations.</w:t>
      </w:r>
    </w:p>
    <w:p>
      <w:pPr>
        <w:spacing w:after="0" w:line="205"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Consolidation in the healthcare industry could have a material and adverse effect on our revenues and results of operations. </w:t>
      </w:r>
      <w:r>
        <w:rPr>
          <w:rFonts w:ascii="Times New Roman" w:cs="Times New Roman" w:eastAsia="Times New Roman" w:hAnsi="Times New Roman"/>
          <w:sz w:val="19"/>
          <w:szCs w:val="19"/>
          <w:color w:val="auto"/>
        </w:rPr>
        <w:t>The healthcare industry has been consolidating and organizations such as group purchasing organizations, independent delivery networks, and large single accounts continue to consolidate purchasing decisions for many of our healthcare provider customers. As a result, transactions with customers are larger, more complex and tend to involve more long-term contracts. The purchasing power of these larger customers has increased, and may continue to increase, causing downward pressure on product pricing. If we are not one of the providers selected by one of these organizations, we may be precluded from making sales to its members or participants. Even if we are one of the selected providers, we may be at a disadvantage relative to other selected providers that are able to offer volume discounts based on purchases of a broader range of products. Further, we may be required to commit to pricing that has a material adverse effect on our revenues and profit margins, business, financial condition and results of operations. We expect that market demand, governmental regulation, third-party reimbursement policies and societal pressures will continue to change the worldwide healthcare industry, resulting in further business consolidations and alliances, which may exert further downward pressure on the prices of our products and could materially and adversely impact our business, financial condition, and results of operations.</w:t>
      </w:r>
    </w:p>
    <w:p>
      <w:pPr>
        <w:spacing w:after="0" w:line="193" w:lineRule="exact"/>
        <w:rPr>
          <w:sz w:val="20"/>
          <w:szCs w:val="20"/>
          <w:color w:val="auto"/>
        </w:rPr>
      </w:pPr>
    </w:p>
    <w:p>
      <w:pPr>
        <w:jc w:val="both"/>
        <w:ind w:firstLine="721"/>
        <w:spacing w:after="0" w:line="233" w:lineRule="exact"/>
        <w:rPr>
          <w:sz w:val="20"/>
          <w:szCs w:val="20"/>
          <w:color w:val="auto"/>
        </w:rPr>
      </w:pPr>
      <w:r>
        <w:rPr>
          <w:rFonts w:ascii="Times New Roman" w:cs="Times New Roman" w:eastAsia="Times New Roman" w:hAnsi="Times New Roman"/>
          <w:sz w:val="19"/>
          <w:szCs w:val="19"/>
          <w:b w:val="1"/>
          <w:bCs w:val="1"/>
          <w:i w:val="1"/>
          <w:iCs w:val="1"/>
          <w:color w:val="auto"/>
        </w:rPr>
        <w:t xml:space="preserve">Technological advances and evolving regulatory standards could reduce our future product sales, which could cause our revenues to grow more slowly or decline. </w:t>
      </w:r>
      <w:r>
        <w:rPr>
          <w:rFonts w:ascii="Times New Roman" w:cs="Times New Roman" w:eastAsia="Times New Roman" w:hAnsi="Times New Roman"/>
          <w:sz w:val="19"/>
          <w:szCs w:val="19"/>
          <w:color w:val="auto"/>
        </w:rPr>
        <w:t>The markets for our products are characterized by rapidly changing technology, changing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 needs, evolving industry or regulatory standards and certifications and frequent new product introductions and enhancements. The emergence of new industry or regulatory standards and certification requirements may adversely affect the demand for our current products. In addition, any products or processes that we currently offer or plan to develop may become obsolete or uneconomical before we recover all or any of the expenses incurred in connection with their development. We cannot provide assurance that we will succeed in developing and marketing product enhancements or new products that respond to technological change, new industry standards, evolving customer requirements or competitive products on a timely and cost</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effective basis. Additionally, even if we are able to develop new products and product enhancements to meet any such standards, we cannot provide assurance that they will be profitable or that they will achieve market acceptance. We also develop certain of our security inspection technologies to meet the certification requirements of various government regulatory agencies worldwide. Such standards change as threat and risk assessments evolve and as new technology becomes available within the industry, which enables regulators to demand performance improvements. We may not ultimately be able to develop, or develop in a timely way, solutions that meet the new standards.</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Certain of our government contracts are dependent upon our employees obtaining and maintaining required security clearances, as well as our ability to obtain security clearances for the facilities in which we perform sensitive government work.</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Certain of our government contracts require our employees to maintain various levels of security clearances, and we are required to maintain certain facility security clearances. If we cannot maintain or obtain the required security clearances for our facilities and our employees, or obtain these clearances in a timely manner, we may be unable to perform certain government contracts. Further, loss of a facility clearance, or an employee’s failure to obtain or maintain a security clearance, could result in a government customer terminating an existing contract or choosing not to renew a contract. Lack of required clearances could also impede our ability to bid on or win new government contracts. This could damage our reputation and adversely affect our business, financial condition and results of operations.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800"/>
          </w:cols>
          <w:pgMar w:left="540" w:top="1349" w:right="540" w:bottom="0" w:gutter="0" w:footer="0" w:header="0"/>
          <w:type w:val="continuous"/>
        </w:sectPr>
      </w:pPr>
    </w:p>
    <w:bookmarkStart w:id="33" w:name="page34"/>
    <w:bookmarkEnd w:id="33"/>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could be subject to changes in tax rates, the adoption of new U.S. or international tax legislation, or exposure to additional tax liabilities. </w:t>
      </w:r>
      <w:r>
        <w:rPr>
          <w:rFonts w:ascii="Times New Roman" w:cs="Times New Roman" w:eastAsia="Times New Roman" w:hAnsi="Times New Roman"/>
          <w:sz w:val="20"/>
          <w:szCs w:val="20"/>
          <w:color w:val="auto"/>
        </w:rPr>
        <w:t>We are subject to taxes in the U.S. and numerous foreign jurisdictions. Tax rates in various jurisdictions may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 subject to significant change due to economic and political conditions or otherwise. Our effective tax rates could be affected by changes in the mix of earnings in countries with differing statutory tax rates, changes in the valuation of deferred tax assets and liabilities, or adoption of new tax legislation or changes in tax laws or their interpretation. We are also subject to the examination of our tax returns and other tax matters by the U.S.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and operating results could be materially adversely affected.</w:t>
      </w:r>
    </w:p>
    <w:p>
      <w:pPr>
        <w:spacing w:after="0" w:line="203"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Geopolitical instability and conflicts in the Middle East could adversely affect our operations, supply chain, and financial performance. </w:t>
      </w:r>
      <w:r>
        <w:rPr>
          <w:rFonts w:ascii="Times New Roman" w:cs="Times New Roman" w:eastAsia="Times New Roman" w:hAnsi="Times New Roman"/>
          <w:sz w:val="20"/>
          <w:szCs w:val="20"/>
          <w:color w:val="auto"/>
        </w:rPr>
        <w:t>Ongoing military conflict and political instability in the Middle East have created heightened uncertainty in global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Escalating hostilities in the region, including disruptions affecting key shipping lanes and energy-producing areas, may result in increased transportation costs, longer transit times, or interruptions in the availability of critical materials. These conditions could impair our ability to fulfill customer orders and maintain normal production schedules and could disrupt customer operations, procurement activities, and project timing. In addition, conflict-related volatility in global oil and gas markets may lead to higher input costs, inflationary pressure, and reduced customer demand in certain end markets. If the conflict expands geographically or intensifies, governments may impose new sanctions, export controls, or other regulatory restrictions that limit our ability to transact with certain suppliers, customers, or financial institutions.</w:t>
      </w:r>
    </w:p>
    <w:p>
      <w:pPr>
        <w:spacing w:after="0" w:line="206"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We also rely on third-party logistics providers and carriers that operate in or near affected regions. Any disruption to their operations—including port closures, airspace restrictions, or rerouting of vessels—could materially affect our delivery timelines and cost structure. Because the duration and outcome of the conflict are uncertain, we may experience additional unforeseen impacts. Any of these factors, individually or collectively, could materially and adversely affect our business, financial condition, and results of operations.</w:t>
      </w:r>
    </w:p>
    <w:p>
      <w:pPr>
        <w:spacing w:after="0" w:line="19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cannot predict the consequences of current or future geopolitical events, but they may adversely affect the markets in which we operate and our results of operations. </w:t>
      </w:r>
      <w:r>
        <w:rPr>
          <w:rFonts w:ascii="Times New Roman" w:cs="Times New Roman" w:eastAsia="Times New Roman" w:hAnsi="Times New Roman"/>
          <w:sz w:val="20"/>
          <w:szCs w:val="20"/>
          <w:color w:val="auto"/>
        </w:rPr>
        <w:t>Ongoing instability and current conflicts in global markets, and the potential for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conflicts and future terrorist activities and other recent geopolitical events throughout the world, including the ongoing conflict between Russia and Ukraine and in the Middle East and its regional effects,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 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us and/or our supply chain, business partners, or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Risks</w:t>
      </w:r>
    </w:p>
    <w:p>
      <w:pPr>
        <w:spacing w:after="0" w:line="239"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 a U.S. Government contractor, we are subject to extensive Federal procurement rules and regulations as well as contractual obligations that are unique to doing business with the U.S. Government. Non-compliance with any such rules, regulations or contractual obligations could negatively affect current programs, potential awards and our ability to do business with the U.S. Government in the future. </w:t>
      </w:r>
      <w:r>
        <w:rPr>
          <w:rFonts w:ascii="Times New Roman" w:cs="Times New Roman" w:eastAsia="Times New Roman" w:hAnsi="Times New Roman"/>
          <w:sz w:val="19"/>
          <w:szCs w:val="19"/>
          <w:color w:val="auto"/>
        </w:rPr>
        <w:t>U.S. Government contractors must comply with extensive procurement regulations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In addition, U.S. Government contracts typically contain provisions and are subject to laws and regulations that provide government agencies rights not typically found in commercial contracts, including the ability to: (i) terminate, reduce the value of, or otherwise modify existing contracts; (ii) suspend or prohibit us from doing business with the government or a specific government agency; and (iii) claim rights in technologies and systems invented, developed or produced by us, in whole or in part, at the government’s expense. U.S. Government agencies and the agencies of many other governments with which we contract can terminate their contracts with us for convenience, and in that event, we generally may recover only our incurred costs and expenses on the work completed prior to termination. If an agency terminates a contract with us for default, we may be denied any recovery and may be liable for excess costs incurred by the agency in procuring undelivered items from an alternative source. Decisions by an agency to terminate one of our contracts for default could negatively affect our ability to win future awards not only from such agency, but also from other government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349" w:right="540" w:bottom="0" w:gutter="0" w:footer="0" w:header="0"/>
          <w:type w:val="continuous"/>
        </w:sectPr>
      </w:pPr>
    </w:p>
    <w:bookmarkStart w:id="34" w:name="page35"/>
    <w:bookmarkEnd w:id="34"/>
    <w:p>
      <w:pPr>
        <w:jc w:val="both"/>
        <w:spacing w:after="0" w:line="243" w:lineRule="auto"/>
        <w:rPr>
          <w:sz w:val="20"/>
          <w:szCs w:val="20"/>
          <w:color w:val="auto"/>
        </w:rPr>
      </w:pPr>
      <w:r>
        <w:rPr>
          <w:rFonts w:ascii="Times New Roman" w:cs="Times New Roman" w:eastAsia="Times New Roman" w:hAnsi="Times New Roman"/>
          <w:sz w:val="20"/>
          <w:szCs w:val="20"/>
          <w:color w:val="auto"/>
        </w:rPr>
        <w:t>agencies and commercial customers, many of whom evaluate past performance, or are required to review past performance information, when making their procurement decisions. U.S. Government agencies may also initiate civil False Claims Act litigation against us based on allegations related to our performance of contracts for the U.S. Government, or to our compliance with procurement regulations and other legal requirements to which such contracts are subject, or both. Such litigation can be expensive to defend and if found liable can result in treble damages and significant civil penalties. The U.S. Government may also initiate administrative proceedings that, if resulting in an adverse finding against us or any of our subsidiaries as to our present responsibility to be a U.S. Government contractor or subcontractor, could result in our company or our subsidiaries being suspended for a period of time from eligibility for award of new government contracts or task orders or in a loss of export privileges and, if satisfying the requisite level of seriousness, in our debarment from contracting with the U.S. Government for a specified term as well as being subject to other remedies available to the U.S. Government. The occurrence of any of the foregoing events could result in a material adverse effect on our business, financial condition and results of operations.</w:t>
      </w:r>
    </w:p>
    <w:p>
      <w:pPr>
        <w:spacing w:after="0" w:line="20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Due to the competitive process to obtain contracts and the likelihood of protests, we may be unable to achieve or sustain revenue growth and profitability. </w:t>
      </w:r>
      <w:r>
        <w:rPr>
          <w:rFonts w:ascii="Times New Roman" w:cs="Times New Roman" w:eastAsia="Times New Roman" w:hAnsi="Times New Roman"/>
          <w:sz w:val="20"/>
          <w:szCs w:val="20"/>
          <w:color w:val="auto"/>
        </w:rPr>
        <w:t>A significant portion of our business is generally awarded through a competitive bidding process,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involves substantial costs, including cost and time to prepare bids and proposals for contracts that may not be awarded to us, may be split among competitors or that may be awarded but for which we do not receive meaningful task orders.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203"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revenues are dependent on orders of security and inspection systems, turnkey security screening solutions and patient monitoring and cardiology and remote monitoring systems, which may have lengthy and unpredictable sales cycles. </w:t>
      </w:r>
      <w:r>
        <w:rPr>
          <w:rFonts w:ascii="Times New Roman" w:cs="Times New Roman" w:eastAsia="Times New Roman" w:hAnsi="Times New Roman"/>
          <w:sz w:val="20"/>
          <w:szCs w:val="20"/>
          <w:color w:val="auto"/>
        </w:rPr>
        <w:t>Sales of security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inspection systems and turnkey security screening solutions often depend upon the decision of governmental agencies to upgrade or expand existing airports, border crossing inspection sites, seaport inspection sites, military facilities and other security installations. In the case of turnkey security screening solutions, the commencement of screening operations may be dependent on the approval, by a government agency, of the protocols and procedures that our personnel are to follow during the performance of their activities. In addition, turnkey screening solutions projects require that we hire and manage large numbers of local personnel in jurisdictions where we may not have previously operated. Sales outside of the United States of our patient monitoring and cardiology and remote monitoring systems depend in significant part on the decision of governmental agencies to build new medical facilities or to expand or update existing medical facilities. Accordingly, a significant portion of our sales of security and inspection systems, turnkey security screening solutions and our patient monitoring and cardiology and remote monitoring systems is often subject to delays associated with the lengthy approval processes. During these approval periods, we expend significant financial and management resources in anticipation of future revenues that may not occur. If we fail to receive such revenues after expending such resources, such failure could have a material adverse effect on our business, financial condition and results of operations.</w:t>
      </w:r>
    </w:p>
    <w:p>
      <w:pPr>
        <w:spacing w:after="0" w:line="201"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do not introduce new products in a timely manner, our products could become obsolete and our operating results would suffer. </w:t>
      </w:r>
      <w:r>
        <w:rPr>
          <w:rFonts w:ascii="Times New Roman" w:cs="Times New Roman" w:eastAsia="Times New Roman" w:hAnsi="Times New Roman"/>
          <w:sz w:val="20"/>
          <w:szCs w:val="20"/>
          <w:color w:val="auto"/>
        </w:rPr>
        <w:t>We sell many of our products in industries characterized by rapid technological changes, frequent new product and service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introductions and evolving industry standards and customer needs. Without the timely introduction of new products and enhancements, our products could become technologically obsolete over time, in which case our revenue and operating results would suffer. The success of our new product offerings will depend upon several factors, including our ability to: (i) accurately anticipate customer needs; (ii) innovate and develop new technologies and applications; (iii) successfully commercialize new technologies in a timely manner; (iv) price our products competitively and manufacture and deliver our products in sufficient volumes and on time; and (v) differentiate our offerings from our competitors’ offerings. Some of our products are used by our customers to develop, test and manufacture their products. We therefore must anticipate industry trends and develop products in advance of the commercialization of our customers’ products. In developing any new product, we may be required to make a substantial investment before we can determine the commercial viability of the new product. If we fail to accurately foresee our customers’ needs and future activities, we may invest heavily in research and development of products that do not lead to significant revenues.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349" w:right="540" w:bottom="0" w:gutter="0" w:footer="0" w:header="0"/>
          <w:type w:val="continuous"/>
        </w:sectPr>
      </w:pPr>
    </w:p>
    <w:bookmarkStart w:id="35" w:name="page36"/>
    <w:bookmarkEnd w:id="35"/>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Increased prices for, and interruptions in our ability to purchase, raw materials and subcomponents may adversely affect our profitability. </w:t>
      </w:r>
      <w:r>
        <w:rPr>
          <w:rFonts w:ascii="Times New Roman" w:cs="Times New Roman" w:eastAsia="Times New Roman" w:hAnsi="Times New Roman"/>
          <w:sz w:val="20"/>
          <w:szCs w:val="20"/>
          <w:color w:val="auto"/>
        </w:rPr>
        <w:t>In recent years, inflation and supply chain constraints have resulted in increases in the prices we pay third parties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many of the subcomponents and raw materials used in our products. We generally do not have guaranteed long-term supply arrangements with our suppliers. In addition, for certain raw materials and subcomponents that we use, there are a limited number of potential suppliers that we have qualified or that we are currently able to qualify. Consequently, some of the key raw materials and subcomponents that we use are currently available to us only from a single vendor. The reliance on a single qualified vendor could result in delays in delivering products or increases in the cost of manufacturing the affected products. Any material interruption in our ability to purchase necessary raw materials or subcomponents or a significant increase in price of raw materials or subcomponents could adversely affect our ability to fulfill customer orders and therefore could ultimately have a material adverse effect on our business, financial condition and results of operations.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contract with third parties that may be unable to fulfill contracts on time. </w:t>
      </w:r>
      <w:r>
        <w:rPr>
          <w:rFonts w:ascii="Times New Roman" w:cs="Times New Roman" w:eastAsia="Times New Roman" w:hAnsi="Times New Roman"/>
          <w:sz w:val="19"/>
          <w:szCs w:val="19"/>
          <w:color w:val="auto"/>
        </w:rPr>
        <w:t>We contract with third-party vendors to service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equipment in the field. In addition, some of these vendors maintain stocks of spare parts that are more efficiently accessed in conjunction with a service agreement than would be the case if we were to maintain such spare parts independently. Any material interruption in the ability of our vendors to fulfill such service contracts could adversely affect our ability to fulfill customer orders and therefore could ultimately have a material adverse effect on our business, financial condition and results of operations. Additionally, purchasers of our security and inspection systems and turnkey security screening solutions sometimes require the construction of the facilities that will house our systems and/or operations. We engage qualified construction firms to perform this work. However, if such firms experience delays, if they perform sub-standard work or if we fail to properly monitor the quality of their work or the timeliness of their progress, we may not be able to complete our construction projects on time. In any such circumstance, we could face the imposition of delay penalties and breach of contract claims by our customer. Any material delay caused by our construction firm subcontractors could therefore ultimately have a material adverse effect on our business, financial condition and results of operations.</w:t>
      </w:r>
    </w:p>
    <w:p>
      <w:pPr>
        <w:spacing w:after="0" w:line="18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accumulate excess quantities or elevated inventory levels from time to time. </w:t>
      </w:r>
      <w:r>
        <w:rPr>
          <w:rFonts w:ascii="Times New Roman" w:cs="Times New Roman" w:eastAsia="Times New Roman" w:hAnsi="Times New Roman"/>
          <w:sz w:val="20"/>
          <w:szCs w:val="20"/>
          <w:color w:val="auto"/>
        </w:rPr>
        <w:t>Because of long lead times and specialized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designs, in certain cases we purchase components and manufacture products in anticipation of customer orders based on customer forecasts. For a variety of reasons, such as decreased end-user demand for our products or other factors, our customers might not purchase all the products that we have manufactured or for which we have purchased components. If we are unsuccessful in recouping our material and manufacturing costs, this could have a material adverse effect on our business, financial condition and results of operations. In addition, because of the complex customer acceptance criteria associated with some of our products, on some occasions, the title of which or risk of loss has passed to our customers are still included in our inventory until revenue recognition criteria are met. As a result, inventory levels are elevated from time to time.</w:t>
      </w:r>
    </w:p>
    <w:p>
      <w:pPr>
        <w:spacing w:after="0" w:line="202"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Economic, political, legal, operational and other risks associated with international sales and operations could adversely affect our financial performance. </w:t>
      </w:r>
      <w:r>
        <w:rPr>
          <w:rFonts w:ascii="Times New Roman" w:cs="Times New Roman" w:eastAsia="Times New Roman" w:hAnsi="Times New Roman"/>
          <w:sz w:val="20"/>
          <w:szCs w:val="20"/>
          <w:color w:val="auto"/>
        </w:rPr>
        <w:t>Our businesses are subject to risks associated with doing business internationally. Many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manufacturing facilities, and therefore employees, suppliers, real property, capital equipment, cash and other assets are located outside the United States. Accordingly, our future results could be harmed by a variety of factors, including without limitation: (i) changes in foreign currency exchange rates; (ii) changes in a country’s or region’s political or economic conditions, particularly in developing or emerging markets; (iii) political and economic instability, including the possibility of civil unrest, terrorism, mass violence or armed conflict; (iv) geopolitical events, wars and military conflicts; (v) longer payment cycles of foreign customers and difficulty of collecting receivables in foreign jurisdictions; (vi) imposition of domestic and international taxes, export controls, tariffs, embargoes, sanctions, trade disputes, and other trade restrictions; (vii) difficulty in staffing and managing widespread operations; (viii) difficulty in managing distributors and sales agents and their compliance with applicable laws; (ix) changes in a foreign government’s budget, leadership and national priorities; (x) increased legal risks arising from differing legal systems; and (xi) compliance with export control and anticorruption legislation.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800"/>
          </w:cols>
          <w:pgMar w:left="540" w:top="1349" w:right="540" w:bottom="0" w:gutter="0" w:footer="0" w:header="0"/>
          <w:type w:val="continuous"/>
        </w:sectPr>
      </w:pPr>
    </w:p>
    <w:bookmarkStart w:id="36" w:name="page37"/>
    <w:bookmarkEnd w:id="36"/>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The enactment of tariffs by the U.S. Government, along with the unpredictability of the rates and other potential actions that may be taken by the U.S. Government and foreign governments (including trade restrictions, new or increased tariffs or quotas, reciprocal tariffs, embargoes, sanctions and counter sanctions, safeguards or customs restrictions) may materially increase our costs and reduce our margins. These actions may also lead to higher pricing for our products, potentially reducing consumer demand and impacting our sales. We are actively monitoring the impact of any tariffs that become effective, as well as potential retaliatory actions by other countries. We are currently taking actions to mitigate this cost pressure, including accelerating, increasing or canceling inventory, further diversifying suppliers and re-sourcing to countries with lower tariffs, working with longstanding factory partners to reduce costs, identifying further cost reductions across our business, planning for strategic price increases and pursuing potential tariff refunds. However, there can be no assurance that we will be able to implement any strategies in a timely fashion, that these measures will be successful, or that they will offset the negative impact of the tariffs and other government actions on our business.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Given the uncertainty regarding scope and duration of the current and potential tariffs, as well as the potential for additional trade actions by the U.S. or other countries, the specific impact to our business, results of operations, cash flows and financial condition is uncertain but could be material.</w:t>
      </w:r>
    </w:p>
    <w:p>
      <w:pPr>
        <w:spacing w:after="0" w:line="18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There are inherent risks associated with operations in Mexico. </w:t>
      </w:r>
      <w:r>
        <w:rPr>
          <w:rFonts w:ascii="Times New Roman" w:cs="Times New Roman" w:eastAsia="Times New Roman" w:hAnsi="Times New Roman"/>
          <w:sz w:val="20"/>
          <w:szCs w:val="20"/>
          <w:color w:val="auto"/>
        </w:rPr>
        <w:t>We are currently in the process of fulfilling agreements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 cargo and vehicle inspection systems and related services to government customers in Mexico. The following are certain risks to operating in Mexico that could adversely impact our operations and have a material adverse effect on our business, financial condition and results of operations: (i) ability of key suppliers and subcontractors to fulfill obligations on a timely basis; (ii) cooperation of various departments of the Mexican government in issuing permits, and inspecting our operations on a timely basis; (iii) receipt of payments in a timely manner; (iv) significant penalties in the event of our late delivery or non-performance; (v) termination or change in scope of program at the election of the Mexican government; (vi) regional political and economic instability; (vii) high rate of crime in Mexico where we conduct operations; (viii) change in the value of the Mexican peso; and (ix) changes in administration of various departments in the Mexican government associated with our agreements.</w:t>
      </w:r>
    </w:p>
    <w:p>
      <w:pPr>
        <w:spacing w:after="0" w:line="206" w:lineRule="exact"/>
        <w:rPr>
          <w:sz w:val="20"/>
          <w:szCs w:val="20"/>
          <w:color w:val="auto"/>
        </w:rPr>
      </w:pPr>
    </w:p>
    <w:p>
      <w:pPr>
        <w:jc w:val="both"/>
        <w:ind w:firstLine="721"/>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operations are vulnerable to interruption or loss due to natural disasters, epidemics or pandemics such as COVID-19, terrorist acts and other events beyond our control, which could adversely impact our operations. </w:t>
      </w:r>
      <w:r>
        <w:rPr>
          <w:rFonts w:ascii="Times New Roman" w:cs="Times New Roman" w:eastAsia="Times New Roman" w:hAnsi="Times New Roman"/>
          <w:sz w:val="19"/>
          <w:szCs w:val="19"/>
          <w:color w:val="auto"/>
        </w:rPr>
        <w:t>Although we perform manufacturing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multiple locations, we generally do not have redundant manufacturing capabilities in place for any particular product or component. As a result, we depend on our current facilities for the continued operation of our business. A natural disaster, epidemic or pandemic, terrorist act, act of war, civil unrest, or other natural or manmade disaster affecting any of our facilities could significantly disrupt our operations, or delay or prevent product manufacturing and shipment for the time required to repair, rebuild, or replace our manufacturing facilities. This delay could be lengthy and we could incur significant expenses to repair or replace the facilities. Any similar natural or manmade disaster that affects a key supplier or customer could lead to a similar disruption in our business.</w:t>
      </w:r>
    </w:p>
    <w:p>
      <w:pPr>
        <w:spacing w:after="0" w:line="18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Any recall of our products, either voluntarily or at the direction of the FDA or another governmental authority, or the discovery of serious safety issues with our products that leads to corrective actions, could have a material adverse impact on us. </w:t>
      </w:r>
      <w:r>
        <w:rPr>
          <w:rFonts w:ascii="Times New Roman" w:cs="Times New Roman" w:eastAsia="Times New Roman" w:hAnsi="Times New Roman"/>
          <w:sz w:val="20"/>
          <w:szCs w:val="20"/>
          <w:color w:val="auto"/>
        </w:rPr>
        <w:t>All</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medical devices can experience performance problems that require review and possible corrective action by us or a component supplier. Component failures, manufacturing errors, noncompliance with quality system requirements or good manufacturing practices, design defects, software defects or labeling inadequacies in any device could result in an unsafe condition or injury to the patient. The FDA and similar foreign governmental authorities have the authority to require the recall of commercialized products in the event of material deficiencies or defects in design or manufacture of a product or if a product poses an unacceptable risk to health. Manufacturers may also, under their own initiative, stop shipment or recall a product if any material deficiency is found or withdraw a product to improve device performance or for other reasons. A government mandated or voluntary recall by us could occur as a result of an unacceptable risk to health, component failures, manufacturing errors, noncompliance with good manufacturing practices or quality system requirements, design or labeling defects or other deficiencies and issues. Similar regulatory agencies in other countries have similar authority to recall products because of material deficiencies or defects in design or manufacture that could endanger health. A recall involving our products could be particularly harmful to our business, financial and operating results. In addition,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A future recall announcement could harm our reputation with customers and negatively affect our sales. In addition, the FDA or a foreign governmental authority could take enforcement action for failing to report the recalls when they were conducted.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800"/>
          </w:cols>
          <w:pgMar w:left="540" w:top="1349" w:right="540" w:bottom="0" w:gutter="0" w:footer="0" w:header="0"/>
          <w:type w:val="continuous"/>
        </w:sectPr>
      </w:pPr>
    </w:p>
    <w:bookmarkStart w:id="37" w:name="page38"/>
    <w:bookmarkEnd w:id="37"/>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Depending on the corrective action we take to redress a product’s deficiencies or defects, the FDA or applicable foreign regulatory authority may require, or we may decide, that we will need to obtain new approvals or clearances for the device before we may market or distribute the corrected device. Seeking such approvals or clearances may delay our ability to replace the recalled devices in a timely manner. Moreover, we may face additional regulatory enforcement action, including FDA warning letters, product seizure, injunctions, administrative penalties, civil penalties or criminal fines. We may also be required to bear other costs or take other actions that may have a negative impact on our sales as well as face material adverse publicity or regulatory consequences, which could harm our business, including our ability to market our products in the future. Any adverse event involving our products, whether in the United States or abroad, could result in future voluntary corrective actions, such as recalls or customer notifications, or agency action, such as inspection, mandatory recall, orders of repair, replacement or refund or other enforcement action. Any corrective action, whether voluntary or involuntary, as well as defending ourselves in a lawsuit, will require the dedication of our time and capital and may harm our reputation and financial results.</w:t>
      </w:r>
    </w:p>
    <w:p>
      <w:pPr>
        <w:spacing w:after="0" w:line="209"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rely on third parties and our own systems for interaction with our customers and suppliers and employees, and a failure of a key information technology system, process or site or any other failure or interruption in the services provided by these third parties or our own systems could have a material adverse impact on our ability to conduct business. </w:t>
      </w:r>
      <w:r>
        <w:rPr>
          <w:rFonts w:ascii="Times New Roman" w:cs="Times New Roman" w:eastAsia="Times New Roman" w:hAnsi="Times New Roman"/>
          <w:sz w:val="20"/>
          <w:szCs w:val="20"/>
          <w:color w:val="auto"/>
        </w:rPr>
        <w:t>We rely extensively on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technology systems and systems and services provided by third parties to interact with our employees and our customers and suppliers. These interactions include, but are not limited to, ordering and managing materials from suppliers, converting materials to finished products, shipping product to customers, processing transactions, summarizing and reporting results of operations, transmitting data used by our service personnel and by and among our wide-spread personnel and facilities, complying with regulatory, legal and tax requirements, and other processes necessary to manage our business. We do not control our third-party service providers and we do not maintain redundant systems for some of such services, increasing our vulnerability to problems with such services. If the systems on which we rely are damaged or cease to function properly due to any number of causes, ranging from failures of our third-party service providers to catastrophic events, to power outages, to security breaches, we may suffer interruptions in our ability to manage operations which may adversely impact our business, results of operations and/or financial condition.</w:t>
      </w:r>
    </w:p>
    <w:p>
      <w:pPr>
        <w:spacing w:after="0" w:line="20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suppliers, or other third parties; our products and services may be subject to potential cyber-attacks or other information technology vulnerabilities. </w:t>
      </w:r>
      <w:r>
        <w:rPr>
          <w:rFonts w:ascii="Times New Roman" w:cs="Times New Roman" w:eastAsia="Times New Roman" w:hAnsi="Times New Roman"/>
          <w:sz w:val="19"/>
          <w:szCs w:val="19"/>
          <w:color w:val="auto"/>
        </w:rPr>
        <w:t>We manage and store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proprietary, sensitive and confidential data related to our business operations. We may be subject to cyber-attacks and breaches of the information technology systems we use for these purposes. Threat actors may be able to penetrate our network and application security and misappropriate or compromise our confidential information or that of third parties, create system disruptions, or cause operational harm. Hackers may also be able to deploy viruses, worms, malware, ransomware and other malicious software programs that attack our systems or otherwise exploit security vulnerabilities in our systems or products. In addition, sophisticated hardware and operating system software and applications that we produce or procure from third parties may contain defects in design or manufacturing, including “vulnerabilities,” “bugs” and other problems that could unexpectedly interfere with the operation of our systems or products. Cyber-threats vary in technique, are persistent, frequently change, and increasingly are more sophisticated, targeted, and difficult to detect or prevent. We expend significant capital and resources to protect against the threat of security breaches, including cyber-attacks, viruses, worms, malware, ransomware and other malicious software programs. Substantial additional expenditures may be required before or after a cyber-attack to mitigate or alleviate problems caused by unauthorized access, theft of data stored within our information systems, or the introduction of computer malware or ransomware to our environment. Our remediation efforts may not be successful, and there could be interruptions, delays, or cessation of service due to cyber-attacks or other data security breaches.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1349" w:right="540" w:bottom="0" w:gutter="0" w:footer="0" w:header="0"/>
          <w:type w:val="continuous"/>
        </w:sectPr>
      </w:pPr>
    </w:p>
    <w:bookmarkStart w:id="38" w:name="page39"/>
    <w:bookmarkEnd w:id="38"/>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often identify attempts to gain unauthorized access to our systems. Given the rapidly evolving nature and proliferation of cyber-threats, there can be no assurance that our employee training, operational, and other technical security measures or other controls will detect, prevent or remediate security or data breaches in a timely manner or otherwise prevent unauthorized access, damage, or interruption of our systems and operations. We are likely to face attempted cyber-attacks in the future. Cyber threat activity is expected to accelerate as adversaries increasingly leverage AI to enhance attack sophistication and scale. Accordingly, we may be vulnerable to losses associated with the improper functioning, security breach, or unavailability of our information systems as well as any systems used in acquired operations. In addition, breaches of our security measures and the unapproved use or disclosure of proprietary information or sensitive or confidential data about us or our suppliers, customers or other third parties could expose us or any such affected third party to a risk of loss or misuse of this information, result in litigation and potential liability for us, damage our brand and reputation or otherwise harm our business, even if we were not responsible for the breach. Furthermore, we are exposed to additional risks because we rely in certain capacities on third-party software, data management, and cloud service providers with possible security problems and security vulnerabilities beyond our control. Media or other reports of perceived security vulnerabilities to our systems or those of our third-party suppliers, even if no breach has been attempted or occurred, could adversely impact our brand and reputation and materially and adversely impact our business.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products and services may also be at risk of cyber-attacks and security breaches. While we design and build security measures into our products and services, once installed and implemented at customer sites those measures may not prevent all cybersecurity attacks targeted against their networks and datacenters, such as the unauthorized access, capture, or alteration of information; the exposure or exploitation of potential security vulnerabilities; distributed denial of service attacks; the installation of malware or ransomware; acts of vandalism; computer viruses; or misplaced data or data loss.</w:t>
      </w:r>
    </w:p>
    <w:p>
      <w:pPr>
        <w:spacing w:after="0" w:line="19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A significant actual or perceived (whether or not valid) theft, loss, fraudulent use or misuse of customer, employee, or other personally identifiable data, whether by us, our partners and vendors, or other third parties, or as a result of employee error or malfeasance or otherwise, non-compliance with applicable industry standards or our contractual or other legal obligations regarding such data, or a violation of our privacy and information security policies with respect to such data, could result in costs, fines, litigation, or regulatory actions against us. Such an event could additionally result in unfavorable publicity and therefore materially and adversely affect the market’s perception of the security and reliability of our products and services and our credibility and reputation with our customers. Given increasing cybersecurity threats, there can be no assurance that we will not experience business interruptions, data loss, ransom, misappropriation, or corruption or theft or misuse of proprietary information or related litigation and investigation, any of which could have a material adverse effect on our financial condition and results of operations and harm our business reputation.</w:t>
      </w:r>
    </w:p>
    <w:p>
      <w:pPr>
        <w:spacing w:after="0" w:line="188"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Delays, costs, and disruptions that result from upgrading, integrating and maintaining the security of our information and technology networks and systems could materially and adversely affect us. </w:t>
      </w:r>
      <w:r>
        <w:rPr>
          <w:rFonts w:ascii="Times New Roman" w:cs="Times New Roman" w:eastAsia="Times New Roman" w:hAnsi="Times New Roman"/>
          <w:sz w:val="20"/>
          <w:szCs w:val="20"/>
          <w:color w:val="auto"/>
        </w:rPr>
        <w:t>We are dependent on information technology networks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systems, including Internet and Internet-based or “cloud” computing services, to collect, process, transmit, and store electronic information. We are currently modernizing and upgrading our information technology systems while also simultaneously integrating systems from our various acquisitions, including making changes to legacy systems, and replacing some legacy systems with new and advanced functionality. While upgrading and implementing changes to any one of our systems could present challenges, the age of our systems and architecture may present unique challenges that we have not previously encountered as we undertake these efforts. There are inherent costs and risks associated with integrating, replacing and changing these systems and implementing new systems, including potential disruption of our sales and operations, potential disruption of our internal control structure, substantial capital expenditures, additional administration and operating expenses, demands on management time, securing our systems along with dependent processes from cybersecurity threats, and other risks and costs of delays or difficulties in transitioning to new systems or of integrating new systems into our current systems. The implementation of or delay in implementing new information technology systems may also cause disruptions in our business operations and impede our ability to comply with constantly evolving laws, regulations and industry standards addressing information and technology networks, privacy and data security, any of which could have a material adverse effect on our business, financial condition, results of operations and cash flows.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1349" w:right="540" w:bottom="0" w:gutter="0" w:footer="0" w:header="0"/>
          <w:type w:val="continuous"/>
        </w:sectPr>
      </w:pPr>
    </w:p>
    <w:bookmarkStart w:id="39" w:name="page40"/>
    <w:bookmarkEnd w:id="39"/>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inability to successfully manage the implementation of a company-wide enterprise resource planning (“ERP”) system could adversely affect our operating results. </w:t>
      </w:r>
      <w:r>
        <w:rPr>
          <w:rFonts w:ascii="Times New Roman" w:cs="Times New Roman" w:eastAsia="Times New Roman" w:hAnsi="Times New Roman"/>
          <w:sz w:val="20"/>
          <w:szCs w:val="20"/>
          <w:color w:val="auto"/>
        </w:rPr>
        <w:t>We are in the process of implementing a new company-wide ERP system. This process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been and continues to be complex and time -consuming, and we expect to incur additional capital outlays and expenses. This ERP system will modernize and replace many of our existing operating and financial systems, which is a major undertaking from a financial management and personnel perspective. Should the new ERP system not be implemented successfully throughout all our business units, be significantly delayed or over-budget or if the system does not perform in a satisfactory manner, it could be disruptive and adversely affect our operations, including our potential ability to report accurate, timely and consistent financial results, our ability to purchase supplies, components and raw materials from suppliers, and our ability to timely deliver products and services to customers and/or collect receivables from them. If the new ERP system is not successfully and fully implemented, it could negatively affect our financial reporting, inventory management, future sales, profitability and financial condition.</w:t>
      </w:r>
    </w:p>
    <w:p>
      <w:pPr>
        <w:spacing w:after="0" w:line="203" w:lineRule="exact"/>
        <w:rPr>
          <w:sz w:val="20"/>
          <w:szCs w:val="20"/>
          <w:color w:val="auto"/>
        </w:rPr>
      </w:pPr>
    </w:p>
    <w:p>
      <w:pPr>
        <w:jc w:val="both"/>
        <w:ind w:firstLine="722"/>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credit facility contains provisions that could restrict our ability to finance our future operations or engage in other business activities that may be in our interest. </w:t>
      </w:r>
      <w:r>
        <w:rPr>
          <w:rFonts w:ascii="Times New Roman" w:cs="Times New Roman" w:eastAsia="Times New Roman" w:hAnsi="Times New Roman"/>
          <w:sz w:val="19"/>
          <w:szCs w:val="19"/>
          <w:color w:val="auto"/>
        </w:rPr>
        <w:t>Our credit facility contains a number of significant covenants that, among other things,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limit our ability to: (i) dispose of assets; (ii) incur certain additional indebtedness; (iii) repay certain indebtedness; (iv) create liens on assets; (v) pay dividends on our common stock; (vi) make certain investments, loans and advances; (vii) repurchase or redeem capital stock; (viii) make certain capital expenditures; (ix) engage in acquisitions, mergers or consolidations; and (x) engage in certain transactions with subsidiaries and affiliates. These covenants could limit our ability to plan for or react to market conditions, finance our operations, engage in strategic acquisitions or disposals or meet our capital needs or could otherwise restrict our activities or business plans. Our ability to comply with these covenants may be affected by events beyond our control. In addition, our credit facility also requires us to maintain compliance with certain financial ratios. Our inability to comply with the required financial ratios or covenants could result in an event of default under our credit facility. A default, if not cured or waived, may permit acceleration of our indebtedness. In addition, our lenders could terminate their commitments to make further extensions of credit under our credit facility. If our indebtedness is accelerated, we cannot be certain that we will have sufficient funds to pay the accelerated indebtedness or that we will have the ability to refinance accelerated indebtedness on terms favorable to us or at all. If we are not able to refinance existing indebtedness on acceptable terms, our ability to finance our operations, engage in strategic acquisitions, and otherwise meet our capital needs would be significantly impaired. As further discussed in Note 8, we amended and extended our credit facility in July 2025.</w:t>
      </w:r>
    </w:p>
    <w:p>
      <w:pPr>
        <w:spacing w:after="0" w:line="195"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Shares of our common stock issuable upon conversion of the 2.25% Convertible Senior Notes due 2029 (the “2029 Notes”) or the 0.50% Convertible Senior Notes due 2031 (the “2031 Notes”), collectively the “Notes”, may dilute the ownership interest of our stockholders or may adversely affect the market price of our common stock. </w:t>
      </w:r>
      <w:r>
        <w:rPr>
          <w:rFonts w:ascii="Times New Roman" w:cs="Times New Roman" w:eastAsia="Times New Roman" w:hAnsi="Times New Roman"/>
          <w:sz w:val="20"/>
          <w:szCs w:val="20"/>
          <w:color w:val="auto"/>
        </w:rPr>
        <w:t>The conversion of any portion of the Notes may dilute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ownership interests of our stockholders. Upon conversion of the Notes, the default settlement method is a combination settlement with a specified dollar amount of $1,000 per $1,000 principal amount of notes and shares of our common stock as described in Note 8. Any sales in the public market of our common stock issuable upon such conversion could adversely affect prevailing market prices of our common stock. Also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204"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indebtedness (including the Notes) could limit the cash flow available for our operations, expose us to risks that could adversely affect our business, financial condition and results of operations and impair our ability to satisfy our debt obligations, including the Notes. </w:t>
      </w:r>
      <w:r>
        <w:rPr>
          <w:rFonts w:ascii="Times New Roman" w:cs="Times New Roman" w:eastAsia="Times New Roman" w:hAnsi="Times New Roman"/>
          <w:sz w:val="20"/>
          <w:szCs w:val="20"/>
          <w:color w:val="auto"/>
        </w:rPr>
        <w:t>Our indebtedness could have significant negative consequences for our security holders and our business, results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operations and financial condition by, among other things: (i) increasing our vulnerability to adverse economic and industry conditions; (ii) limiting our ability to obtain additional financing; (iii) requiring the dedication of a substantial portion of our cash flow from operations to service our indebtedness, which will reduce the amount of cash available for other purposes; (iv) limiting our flexibility to plan for, or react to, changes in our business; and (v) placing us at a possible competitive disadvantage with competitors that are less leveraged than us or have better access to capital. Our business may not generate sufficient funds, and we may otherwise be unable to maintain sufficient cash reserves, to pay amounts due under our indebtedness, including the Notes, and our cash needs may increase in the future. If we fail to comply with debt covenants or to make payments under our indebtedness when due, then we would be in default under that indebtedness, which could, in turn, result in such indebtedness and our other indebtedness becoming immediately payable in full.</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0"/>
          </w:cols>
          <w:pgMar w:left="540" w:top="1349" w:right="540" w:bottom="0" w:gutter="0" w:footer="0" w:header="0"/>
          <w:type w:val="continuous"/>
        </w:sectPr>
      </w:pPr>
    </w:p>
    <w:bookmarkStart w:id="40" w:name="page41"/>
    <w:bookmarkEnd w:id="40"/>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be unable to raise the funds necessary to repurchase the Notes for cash following a fundamental change, or to pay the cash amounts due upon conversion, and our other indebtedness may limit our ability to repurchase the Notes or pay cash upon their conversion. </w:t>
      </w:r>
      <w:r>
        <w:rPr>
          <w:rFonts w:ascii="Times New Roman" w:cs="Times New Roman" w:eastAsia="Times New Roman" w:hAnsi="Times New Roman"/>
          <w:sz w:val="20"/>
          <w:szCs w:val="20"/>
          <w:color w:val="auto"/>
        </w:rPr>
        <w:t>Noteholders may, subject to a limited exception, require us to repurchase their Notes following a fundamental 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defined in the Convertible Note Indenture) at a cash repurchase price generally equal to the principal amount of the Notes to be repurchased, plus accrued and unpaid interest, if any, to, but excluding, the related fundamental change repurchase date. In addition, all conversions of Notes require the principal amount to be settled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existing credit facility contains certain limitations on cash payments for the conversion, redemption or repurchase of the Notes, including compliance with certain leverage ratios on a pro forma basis after giving effect to such cash payments. Our failure to repurchase Notes or pay the cash amounts due upon conversion when required will constitute a default under the Note Indenture. A default under the Note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Provisions in the Note Indenture could delay or prevent an otherwise beneficial takeover of us. </w:t>
      </w:r>
      <w:r>
        <w:rPr>
          <w:rFonts w:ascii="Times New Roman" w:cs="Times New Roman" w:eastAsia="Times New Roman" w:hAnsi="Times New Roman"/>
          <w:sz w:val="20"/>
          <w:szCs w:val="20"/>
          <w:color w:val="auto"/>
        </w:rPr>
        <w:t>Certain provisions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Notes and the Note Indenture could make a third- party attempt to acquire us more difficult or expensive. For example, if a takeover constitutes a fundamental change, then, subject to certain exceptions, noteholders will have the right to require us to repurchase their 2029 Notes for cash. In addition, if a takeover constitutes a make-whole fundamental change, then we may be required to temporarily increase the conversion rate. In either case, and in other cases, our obligations under the Notes and the Note Indenture could increase the cost of acquiring us or otherwise discourage a third party from acquiring us or removing incumbent management, including in a transaction that noteholders or holders of our common stock may view as favorable.</w:t>
      </w:r>
    </w:p>
    <w:p>
      <w:pPr>
        <w:spacing w:after="0" w:line="20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accounting method for the Notes could adversely affect our reported financial condition and results. </w:t>
      </w:r>
      <w:r>
        <w:rPr>
          <w:rFonts w:ascii="Times New Roman" w:cs="Times New Roman" w:eastAsia="Times New Roman" w:hAnsi="Times New Roman"/>
          <w:sz w:val="19"/>
          <w:szCs w:val="19"/>
          <w:color w:val="auto"/>
        </w:rPr>
        <w:t>The accounting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method for reflecting the Notes on our balance sheet, accruing interest expense for the 2029 Notes and potential inclusion of underlying shares of our common stock in our reported diluted earnings per share may adversely affect our reported earnings and financial condition. In accordance with applicable accounting standards, the Notes are reflected as a liability on our balance sheets, with the initial carrying amount equal to the principal amount of the Notes, net of issuance costs. The issuance costs are treated as a debt discount for accounting purposes, which are being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In addition, the shares underlying the Notes will be reflected in our diluted earnings per share using the “if converted” method. Under that method, the potential common shares issuable upon conversion of the Notes will have a net impact on diluted earnings per share when the average price of our common stock exceeds the conversion price because the principal amount of the Notes will be settled in cash upon conversion, then we will calculate our diluted earnings per share assuming that all of the Notes were converted at the beginning of the reporting period and that we issued shares of our common stock to settle the excess. The after-tax interest expense associated with the Notes will not be added back to the numerator of the diluted earnings per share calculation for these purposes. The application of the if-converted method may reduce our reported diluted earnings per share, and accounting standards may change in the future in a manner that may adversely affect our diluted earnings per share. 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 Risks</w:t>
      </w:r>
    </w:p>
    <w:p>
      <w:pPr>
        <w:spacing w:after="0" w:line="23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Support Anti-terrorism by Fostering Effective Technologies Act of 2002 (SAFETY Act) may not shield us against legal claims we may face following an act of terrorism. </w:t>
      </w:r>
      <w:r>
        <w:rPr>
          <w:rFonts w:ascii="Times New Roman" w:cs="Times New Roman" w:eastAsia="Times New Roman" w:hAnsi="Times New Roman"/>
          <w:sz w:val="19"/>
          <w:szCs w:val="19"/>
          <w:color w:val="auto"/>
        </w:rPr>
        <w:t>The SAFETY Act provides important legal liability protections for providers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qualified anti-terrorism products and services. Under the SAFETY Act, providers, such as our Security division, may apply to the U.S. Department of Homeland Security for coverage of their products and services. If granted coverage, such providers receive certain legal protections against product liability, professional liability and certain other claims that could arise following an act of terrorism. We have applied to the U.S. Department of Homeland Security for many of the products and services offered by our Security division, but we do not enjoy coverage under the SAFETY Act (or the highest level of coverage) for every product line, model number and service offering that our Security division provides. Also, the terms of the SAFETY Act coverage decisions awarded to us by the U.S. Department of Homeland Security restrict coverage to specific model numbers, software, and options within our product lines, sales to specific customers, and impose various other limitations, and contain conditions and requirements that we may not continue to satisfy in the future. Delays by the U.S. Department of Homeland Security in granting coverage and in our ability to meet the evolving standards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800"/>
          </w:cols>
          <w:pgMar w:left="540" w:top="1349" w:right="540" w:bottom="0" w:gutter="0" w:footer="0" w:header="0"/>
          <w:type w:val="continuous"/>
        </w:sectPr>
      </w:pPr>
    </w:p>
    <w:bookmarkStart w:id="41" w:name="page42"/>
    <w:bookmarkEnd w:id="41"/>
    <w:p>
      <w:pPr>
        <w:jc w:val="both"/>
        <w:spacing w:after="0" w:line="259" w:lineRule="auto"/>
        <w:rPr>
          <w:sz w:val="20"/>
          <w:szCs w:val="20"/>
          <w:color w:val="auto"/>
        </w:rPr>
      </w:pPr>
      <w:r>
        <w:rPr>
          <w:rFonts w:ascii="Times New Roman" w:cs="Times New Roman" w:eastAsia="Times New Roman" w:hAnsi="Times New Roman"/>
          <w:sz w:val="19"/>
          <w:szCs w:val="19"/>
          <w:color w:val="auto"/>
        </w:rPr>
        <w:t>of the SAFETY Act application process has and may in the future continue to result in coverage limitations for our products and services. If we fail to maintain SAFETY Act protections for each of our product models, options, offerings, software and services, or fail to apply in a timely way for coverage for new products, models, and services as we acquire or introduce them, or if the U.S. Department of Homeland Security limits the scope of any coverage previously awarded to us, denies us coverage or continued coverage for a particular product, product line, model, option, offering, software feature, or service, or delays in making decisions about whether to grant us coverage, we may become exposed to legal claims that the SAFETY Act was otherwise designed to prevent. Moreover, the SAFETY Act was not designed to shield providers of qualified anti-terrorism products and services from all types of claims that may arise from acts of terrorism, including from many types of claims lodged in courts outside of the United States or acts of terrorism that occur outside of the United States, which exposes us to legal claims and litigation defense costs despite the SAFETY Act awards we have received.</w:t>
      </w:r>
    </w:p>
    <w:p>
      <w:pPr>
        <w:spacing w:after="0" w:line="188"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patient monitoring, cardiology and remote monitoring, and connected care systems could give rise to product liability claims and product recall events that could materially and adversely affect our financial condition and results of operations.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manufacturing and sale of medical devices expose us to significant risk of product liability claims, product recalls and, sometimes, product failure claims. We face an inherent business risk of financial exposure to product liability claims if the use of our medical devices results in personal injury or death. Substantial product liability litigation currently exists within the medical device industry. Some of our patient monitoring, cardiology and remote monitoring, and connected care products may become subject to product liability claims and/or product recalls. Future product liability claims and/or product recall costs may exceed the limits of our insurance coverages, or such insurance may not continue to be available to us on commercially reasonable terms, or at all. In addition, a significant product liability claim or product recall could significantly damage our reputation for producing safe, reliable and effective products, making it more difficult for us to market and sell our products in the future. Consequently, a product liability claim, product recall or other claim could have a material adverse effect on our business, financial condition and results of operations.</w:t>
      </w:r>
    </w:p>
    <w:p>
      <w:pPr>
        <w:spacing w:after="0" w:line="209"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global operations expose us to legal compliance risks related to certain anti-bribery and anti-corruption laws.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required to comply with the U.S. Foreign Corrupt Practices Act, which prohibits United States companies from engaging in bribery or making other prohibited payments to foreign officials for the purpose of obtaining or retaining business.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distributors, resellers and contractors involved in our international sales may take actions in violations of such policies. If our internal controls and compliance program do not adequately prevent or deter our employees, distributors, resellers, contractors and/or other third parties with which we do business from violating anti-bribery, anti-corruption or similar laws and regulations, we may incur severe fines, penalties and reputational damage.</w:t>
      </w:r>
    </w:p>
    <w:p>
      <w:pPr>
        <w:spacing w:after="0" w:line="203"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subject to import and export controls that could subject us to liability or impair our ability to compete in international markets. </w:t>
      </w:r>
      <w:r>
        <w:rPr>
          <w:rFonts w:ascii="Times New Roman" w:cs="Times New Roman" w:eastAsia="Times New Roman" w:hAnsi="Times New Roman"/>
          <w:sz w:val="20"/>
          <w:szCs w:val="20"/>
          <w:color w:val="auto"/>
        </w:rPr>
        <w:t>Due to the international scope of our operations, we are subject to a complex system of import - and export-related laws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regulations, including U.S. export control and customs regulations and customs regulations of other countries. These regulations are complex and vary among the legal jurisdictions in which we operate. Any alleged or actual failure to comply with such regulations may subject us to government scrutiny, investigation, and civil and criminal penalties, and may limit our ability to import or export our products or to provide services outside the United States. Depending on severity, any of these penalties could have a material impact on our business, financial condition and results of operations.</w:t>
      </w:r>
    </w:p>
    <w:p>
      <w:pPr>
        <w:spacing w:after="0" w:line="199"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business is subject to complex and evolving U.S. and international laws and regulation regarding privacy and data protection. If we fail to meet our compliance obligations under applicable privacy and data protection regulations, even if such compliance by us is inadvertent, or if we are unable to comply with changes to such requirements, we might be subject to fines, legal disputes, or other liabilities that could have a material adverse effect on our financial condition and results of operations. </w:t>
      </w:r>
      <w:r>
        <w:rPr>
          <w:rFonts w:ascii="Times New Roman" w:cs="Times New Roman" w:eastAsia="Times New Roman" w:hAnsi="Times New Roman"/>
          <w:sz w:val="19"/>
          <w:szCs w:val="19"/>
          <w:color w:val="auto"/>
        </w:rPr>
        <w:t>Regulatory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authorities around the world are considering legislative and regulatory proposals concerning data protection, and the interpretation and application of data protection laws in the U.S., the EU, and elsewhere are often uncertain and in flux. These laws may be interpreted and applied in a manner that is inconsistent with our data practices. If our data practices are found to be in conflict with privacy and data protection laws or regulations, we could face fines or orders requiring that we change our data practices, which could have an adverse effect on our business, financial condition and results of operations. We must comply with extensive federal and state requirements regarding the use, retention, security, and re-disclosure of patient healthcare information. HIPAA and the regulations that have been issued under it contain substantial restrictions and complex requirements with respect to the use and disclosure of certain individually identifiable health information, referred to as “protected health information”. Any failure or perceived failure of our Company or our products to meet HIPAA standards and related regulatory requirements could expose us to certain notification, penalty, and enforcement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1349" w:right="540" w:bottom="0" w:gutter="0" w:footer="0" w:header="0"/>
          <w:type w:val="continuous"/>
        </w:sectPr>
      </w:pPr>
    </w:p>
    <w:bookmarkStart w:id="42" w:name="page43"/>
    <w:bookmarkEnd w:id="42"/>
    <w:p>
      <w:pPr>
        <w:jc w:val="both"/>
        <w:ind w:left="1"/>
        <w:spacing w:after="0" w:line="278" w:lineRule="auto"/>
        <w:rPr>
          <w:sz w:val="20"/>
          <w:szCs w:val="20"/>
          <w:color w:val="auto"/>
        </w:rPr>
      </w:pPr>
      <w:r>
        <w:rPr>
          <w:rFonts w:ascii="Times New Roman" w:cs="Times New Roman" w:eastAsia="Times New Roman" w:hAnsi="Times New Roman"/>
          <w:sz w:val="20"/>
          <w:szCs w:val="20"/>
          <w:color w:val="auto"/>
        </w:rPr>
        <w:t>risks, damage our reputation, and adversely affect demand for our products and force us to expend significant capital and other resources to address the privacy and security requirements of HIPAA.</w:t>
      </w:r>
    </w:p>
    <w:p>
      <w:pPr>
        <w:spacing w:after="0" w:line="168" w:lineRule="exact"/>
        <w:rPr>
          <w:sz w:val="20"/>
          <w:szCs w:val="20"/>
          <w:color w:val="auto"/>
        </w:rPr>
      </w:pPr>
    </w:p>
    <w:p>
      <w:pPr>
        <w:jc w:val="both"/>
        <w:ind w:left="1" w:firstLine="721"/>
        <w:spacing w:after="0" w:line="242" w:lineRule="auto"/>
        <w:rPr>
          <w:sz w:val="20"/>
          <w:szCs w:val="20"/>
          <w:color w:val="auto"/>
        </w:rPr>
      </w:pPr>
      <w:r>
        <w:rPr>
          <w:rFonts w:ascii="Times New Roman" w:cs="Times New Roman" w:eastAsia="Times New Roman" w:hAnsi="Times New Roman"/>
          <w:sz w:val="20"/>
          <w:szCs w:val="20"/>
          <w:color w:val="auto"/>
        </w:rPr>
        <w:t>In addition, there are other federal laws that include specific privacy and security obligations for certain types of health information and impose additional sanctions and penalties. All 50 states, the District of Columbia, Guam, Puerto Rico, and the Virgin Islands have enacted legislation requiring notice to individuals of security breaches involving protected health information, which is not uniformly defined among the breach notification laws. Organizations must review each state’s definitions, mandates, and notification requirements and timelines to appropriately prepare and notify affected individuals and government agencies, including the attorney general, in compliance with such state laws. Further, most states have enacted patient confidentiality laws that protect against the disclosure of confidential medical information, and many states have adopted or are considering adopting further legislation in this area. These state laws may be more stringent than HIPAA requirements. California passed the California Consumer Privacy Act which came into effect January 1, 2020 and was amended and expanded by the California Privacy Rights Act, or CPRA, which came into effect on January 1, 2023, which imposes significant changes in data privacy regulation, and New York has passed the Stop Hacks and Improve Electronic Data Security Act, which expands the state’s existing privacy laws. GDPR, a regulation implemented in the EU on data protection and privacy for all individuals in the EU and the EEA, applies to all enterprises, regardless of location, that are doing business in the EU or that collect and analyze data tied to EU and EEA residents. GDPR creates a range of compliance obligations, including stringent technical and security controls surrounding the storage, use, and disclosure of personal information, and significantly increases financial penalties for noncompliance.</w:t>
      </w:r>
    </w:p>
    <w:p>
      <w:pPr>
        <w:spacing w:after="0" w:line="211" w:lineRule="exact"/>
        <w:rPr>
          <w:sz w:val="20"/>
          <w:szCs w:val="20"/>
          <w:color w:val="auto"/>
        </w:rPr>
      </w:pPr>
    </w:p>
    <w:p>
      <w:pPr>
        <w:jc w:val="both"/>
        <w:ind w:left="1"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facing an increasingly complex international regulatory environment which is constantly changing and if we fail to comply with international regulatory requirements, or are unable to comply with changes to such requirements, our financial performance may be harmed. </w:t>
      </w:r>
      <w:r>
        <w:rPr>
          <w:rFonts w:ascii="Times New Roman" w:cs="Times New Roman" w:eastAsia="Times New Roman" w:hAnsi="Times New Roman"/>
          <w:sz w:val="20"/>
          <w:szCs w:val="20"/>
          <w:color w:val="auto"/>
        </w:rPr>
        <w:t>Our international operations and sales subject us to an international regulatory environment which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becoming increasingly complex and is constantly changing due to factors beyond our control. Risks associated with our international operations and sales include, without limitation, those arising from differing: (i) legal and court systems and changes to such systems;</w:t>
      </w:r>
    </w:p>
    <w:p>
      <w:pPr>
        <w:ind w:left="301" w:hanging="301"/>
        <w:spacing w:after="0"/>
        <w:tabs>
          <w:tab w:leader="none" w:pos="30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laws and changes in those laws; (iii) tax laws and changes in those laws; (iv) environmental laws and changes in those laws;</w:t>
      </w:r>
    </w:p>
    <w:p>
      <w:pPr>
        <w:jc w:val="both"/>
        <w:ind w:left="1" w:hanging="1"/>
        <w:spacing w:after="0" w:line="244" w:lineRule="auto"/>
        <w:tabs>
          <w:tab w:leader="none" w:pos="29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governing our distributors and sales agents and changes in those laws; (vi) protection of intellectual property and changes in that protection; and (vii) differing import and export requirements and changes to those requirements. If we fail to comply with applicable international regulatory requirements our financial performance may be harmed.</w:t>
      </w:r>
    </w:p>
    <w:p>
      <w:pPr>
        <w:spacing w:after="0" w:line="201" w:lineRule="exact"/>
        <w:rPr>
          <w:sz w:val="20"/>
          <w:szCs w:val="20"/>
          <w:color w:val="auto"/>
        </w:rPr>
      </w:pPr>
    </w:p>
    <w:p>
      <w:pPr>
        <w:jc w:val="both"/>
        <w:ind w:left="1"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Substantial government regulation in the United States and abroad may restrict our ability to sell our patient monitoring, cardiology and remote monitoring, and connected care systems, and failure to comply with such laws and regulations may have a material adverse impact on our business. </w:t>
      </w:r>
      <w:r>
        <w:rPr>
          <w:rFonts w:ascii="Times New Roman" w:cs="Times New Roman" w:eastAsia="Times New Roman" w:hAnsi="Times New Roman"/>
          <w:sz w:val="20"/>
          <w:szCs w:val="20"/>
          <w:color w:val="auto"/>
        </w:rPr>
        <w:t>The FDA and comparable regulatory authorities in foreign countries extensively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rigorously regulate our patient monitoring, cardiology and remote monitoring, and connected care systems, including the research and development, design, testing, clinical trials, manufacturing, clearance or approval, safety and efficacy, labeling, advertising, promotion, pricing, recordkeeping, reporting, import and export, post-approval studies and sale and distribution of these products. In the United States, before we can market a new medical device, or a new use of, new claim for, or significant modification to, an existing product, we must first receive clearance under Section 510(k) of the Federal Food, Drug and Cosmetic Act as discussed under Part I, Item 1, “Business - Regulation of Medical Devices.” Some modifications made to products cleared through a 510(k) may require a new 510(k). The FDA can delay, limit or deny clearance or approval of a device for many reasons.</w:t>
      </w:r>
    </w:p>
    <w:p>
      <w:pPr>
        <w:spacing w:after="0" w:line="203" w:lineRule="exact"/>
        <w:rPr>
          <w:sz w:val="20"/>
          <w:szCs w:val="20"/>
          <w:color w:val="auto"/>
        </w:rPr>
      </w:pPr>
    </w:p>
    <w:p>
      <w:pPr>
        <w:jc w:val="both"/>
        <w:ind w:left="1" w:firstLine="721"/>
        <w:spacing w:after="0" w:line="245" w:lineRule="auto"/>
        <w:rPr>
          <w:sz w:val="20"/>
          <w:szCs w:val="20"/>
          <w:color w:val="auto"/>
        </w:rPr>
      </w:pPr>
      <w:r>
        <w:rPr>
          <w:rFonts w:ascii="Times New Roman" w:cs="Times New Roman" w:eastAsia="Times New Roman" w:hAnsi="Times New Roman"/>
          <w:sz w:val="20"/>
          <w:szCs w:val="20"/>
          <w:color w:val="auto"/>
        </w:rPr>
        <w:t>Our future products may not obtain FDA clearance on a timely basis, or at all. Further, the FDA makes periodic inspections of medical device manufacturers and in connection with such inspections issues observations when the FDA believes the manufacturer has failed to comply with applicable regulations. If FDA observations are not addressed to the FDA’s satisfaction, the FDA may issue a warning letter or proceed directly to other forms of enforcement action, which could include the shutdown of our production facilities, adverse publicity, and civil and criminal penalties. The expense and costs of any corrective actions that we may take, which may include product recalls, correction and removal of products from customer sites and/or changes to our product manufacturing and quality systems, could adversely impact our financial results. Issuance of a warning letter may also lead customers to delay purchasing decisions or cancel orders.</w:t>
      </w:r>
    </w:p>
    <w:p>
      <w:pPr>
        <w:spacing w:after="0" w:line="202" w:lineRule="exact"/>
        <w:rPr>
          <w:sz w:val="20"/>
          <w:szCs w:val="20"/>
          <w:color w:val="auto"/>
        </w:rPr>
      </w:pPr>
    </w:p>
    <w:p>
      <w:pPr>
        <w:jc w:val="both"/>
        <w:ind w:left="1" w:firstLine="721"/>
        <w:spacing w:after="0" w:line="263" w:lineRule="auto"/>
        <w:rPr>
          <w:sz w:val="20"/>
          <w:szCs w:val="20"/>
          <w:color w:val="auto"/>
        </w:rPr>
      </w:pPr>
      <w:r>
        <w:rPr>
          <w:rFonts w:ascii="Times New Roman" w:cs="Times New Roman" w:eastAsia="Times New Roman" w:hAnsi="Times New Roman"/>
          <w:sz w:val="19"/>
          <w:szCs w:val="19"/>
          <w:color w:val="auto"/>
        </w:rPr>
        <w:t>Our patient monitoring, cardiology and remote monitoring, and connected care systems must also comply with the laws and regulations of foreign countries in which we develop, manufacture and market such products. In general, the extent and complexity of medical device regulation is increasing worldwide. This trend is likely to continue, and the cost and time required to obtain marketing clearance in any given country may increase as a result. Our products may not obtain any necessary foreign clearances on a timely basis, or at all. Once any of our patient monitoring, cardiology and remote monitoring, or connected care systems is cleared for sale, regulatory authorities may still limit the use of such product, prevent its sale or manufacture or require a recall or withdrawal of such product from</w:t>
      </w:r>
    </w:p>
    <w:p>
      <w:pPr>
        <w:sectPr>
          <w:pgSz w:w="11880" w:h="15480" w:orient="portrait"/>
          <w:cols w:equalWidth="0" w:num="1">
            <w:col w:w="10801"/>
          </w:cols>
          <w:pgMar w:left="539" w:top="1349" w:right="54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1"/>
          </w:cols>
          <w:pgMar w:left="539" w:top="1349" w:right="540" w:bottom="0" w:gutter="0" w:footer="0" w:header="0"/>
          <w:type w:val="continuous"/>
        </w:sectPr>
      </w:pPr>
    </w:p>
    <w:bookmarkStart w:id="43" w:name="page44"/>
    <w:bookmarkEnd w:id="43"/>
    <w:p>
      <w:pPr>
        <w:jc w:val="both"/>
        <w:ind w:firstLine="1"/>
        <w:spacing w:after="0" w:line="247" w:lineRule="auto"/>
        <w:rPr>
          <w:sz w:val="20"/>
          <w:szCs w:val="20"/>
          <w:color w:val="auto"/>
        </w:rPr>
      </w:pPr>
      <w:r>
        <w:rPr>
          <w:rFonts w:ascii="Times New Roman" w:cs="Times New Roman" w:eastAsia="Times New Roman" w:hAnsi="Times New Roman"/>
          <w:sz w:val="20"/>
          <w:szCs w:val="20"/>
          <w:color w:val="auto"/>
        </w:rPr>
        <w:t>the marketplace. Following initial clearance from regulatory authorities, we continue to be subject to extensive regulatory requirements. Government authorities can withdraw marketing clearance or impose sanctions due to our failure to comply with regulatory standards or due to the occurrence of unforeseen problems following initial clearance. Ongoing regulatory requirements are wide-ranging and govern, among other things: (i) annual inspections to retain a CE mark for sale of products in the EU; (ii) product manufacturing; (iii) patient health data protection and medical device security; (iv) supplier substitution; (v) product changes; (vi) process modifications; (vii) medical device reporting; and (viii) product sales and distribution.</w:t>
      </w:r>
    </w:p>
    <w:p>
      <w:pPr>
        <w:spacing w:after="0" w:line="200"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Legislative or regulatory reforms such as the EU Medical Devices Regulation may make it more difficult and costly for us to obtain certification, regulatory clearance, or approval of any future products and to manufacture, market, and distribute our products after certification, clearance, or approval is obtained. </w:t>
      </w:r>
      <w:r>
        <w:rPr>
          <w:rFonts w:ascii="Times New Roman" w:cs="Times New Roman" w:eastAsia="Times New Roman" w:hAnsi="Times New Roman"/>
          <w:sz w:val="20"/>
          <w:szCs w:val="20"/>
          <w:color w:val="auto"/>
        </w:rPr>
        <w:t>The EU MDR introduced substantial changes to the obligations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medical device manufacturers must comply in the EEA. High - risk medical devices are subject to additional scrutiny during the conformity assessment procedure. The EU MDR is directly applicable, without the need for adoption by EEA country laws implementing them, in all EEA countries and intended to eliminate current differences in regulation of medical devices among EEA countries. The EU MDR, among other things, is intended to establish a uniform, transparent, predictable and sustainable regulatory framework across the EEA for medical devices to ensure a high level of safety and health while supporting innovation. The EU MDR imposes a number of new requirements on manufacturers of medical devices and imposes increased compliance obligations for us to access the EEA market. Our failure to comply with applicable foreign regulatory requirements, including those administered by authorities of the EEA countries, could result in enforcement actions against us and impair our ability to market products in the EEA in the future. Any changes to the membership of the EU, such as the departure of the United Kingdom under Brexit, may impact the regulatory requirements for impacted countries and impair our business operations and our ability to market products in such countries. For further discussion of the EU MDR, see Part I, Item 1, “Business - Regulation of Medical Devices.”</w:t>
      </w:r>
    </w:p>
    <w:p>
      <w:pPr>
        <w:spacing w:after="0" w:line="200"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be subject to fines, penalties, injunctions, or other enforcement actions if we are determined to be promoting the use of our products for unapproved or “off label” uses, resulting in damage to our reputation and business. </w:t>
      </w:r>
      <w:r>
        <w:rPr>
          <w:rFonts w:ascii="Times New Roman" w:cs="Times New Roman" w:eastAsia="Times New Roman" w:hAnsi="Times New Roman"/>
          <w:sz w:val="20"/>
          <w:szCs w:val="20"/>
          <w:color w:val="auto"/>
        </w:rPr>
        <w:t>Our promotional materials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training methods must comply with FDA and other applicable laws and regulations, including the prohibition of the promotion of a medical device for a use that has not been cleared or approved by the FDA known as “off label” use. If the FDA determines that our promotional materials or training constitutes promotion of an off label use, it could request that we modify our training or promotional materials or subject us to regulatory or enforcement actions, including the issuance of warning letters, untitled letters, fines, penalties, consent decrees, injunctions, or seizures, which could have an adverse impact on our reputation and financial results. We could also be subject to enforcement action under other federal or state laws, including the False Claims Act.</w:t>
      </w:r>
    </w:p>
    <w:p>
      <w:pPr>
        <w:spacing w:after="0" w:line="203"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failure to comply with federal, state, and foreign laws and regulations relating to our healthcare business could have a material and adverse effect on our business. </w:t>
      </w:r>
      <w:r>
        <w:rPr>
          <w:rFonts w:ascii="Times New Roman" w:cs="Times New Roman" w:eastAsia="Times New Roman" w:hAnsi="Times New Roman"/>
          <w:sz w:val="20"/>
          <w:szCs w:val="20"/>
          <w:color w:val="auto"/>
        </w:rPr>
        <w:t>Although we do not provide healthcare services, submit claims for third-party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reimbursement or receive payments directly from Medicare, Medicaid or other third-party payers for our products, we are subject to healthcare fraud and abuse regulation and enforcement by federal and state governments. Healthcare fraud and abuse and health information privacy and security laws potentially applicable to our operations are discussed in Part I, Item 1, “Business – Regulation of Medical Devices.” The risk of our being found in violation of these laws and regulations is increased because many of them have not been fully interpreted by the regulatory authorities or the courts, and their provisions are open to a variety of interpretations. Moreover, health care reform legislation has strengthened these laws. For example, the Affordable Care Act, among other things, amended the intent requirement of the federal Anti Kickback Statute and criminal health care fraud statutes; a person or entity no longer needs to have actual knowledge of these statutes or specific intent to violate them to have committed a violation. In addition, the Affordable Care Act provided that the government may assert that a claim including items or services resulting from a violation of the federal Anti Kickback Statute constitutes a false or fraudulent claim for purposes of the False Claims Act.</w:t>
      </w:r>
    </w:p>
    <w:p>
      <w:pPr>
        <w:spacing w:after="0" w:line="205"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safe harbors available under such laws, it is possible that some of our business activities could be subject to challenge under one or more of such laws. Any action against us for violation of these laws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 care programs, disgorgement, contractual damages, reputational harm, diminished profits and future earnings, and the curtailment or restructuring of our operations, any of which could impair our ability to operate our business, financial condition and our financial results.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1349" w:right="540" w:bottom="0" w:gutter="0" w:footer="0" w:header="0"/>
          <w:type w:val="continuous"/>
        </w:sectPr>
      </w:pPr>
    </w:p>
    <w:bookmarkStart w:id="44" w:name="page45"/>
    <w:bookmarkEnd w:id="44"/>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Evolving expectations around corporate responsibility practices, specifically related to environmental, social and governance (“ESG”) matters, may expose us to reputational and other risks. </w:t>
      </w:r>
      <w:r>
        <w:rPr>
          <w:rFonts w:ascii="Times New Roman" w:cs="Times New Roman" w:eastAsia="Times New Roman" w:hAnsi="Times New Roman"/>
          <w:sz w:val="20"/>
          <w:szCs w:val="20"/>
          <w:color w:val="auto"/>
        </w:rPr>
        <w:t>Stockholders, customers, suppliers and other third parties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increasingly focusing on ESG and corporate social responsibility endeavors and reporting. Certain institutional investors, investment funds, and other influential investors are also increasingly focused on ESG practices. Companies that do not adapt to or comply with evolving stakeholder expectations and standards, or which are perceived to have not responded appropriately, may suffer from reputational damage and may suffer a material adverse effect on its business or financial condition or stock price. Further, increased focus on ESG issues may result in new regulations or third-party requirements that could materially and adversely impact our business or result in certain stockholders reducing or eliminating their holdings of our common stock.</w:t>
      </w:r>
    </w:p>
    <w:p>
      <w:pPr>
        <w:spacing w:after="0" w:line="20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addition, regulators, including the European Union and the State of California, have adopted, or are considering adopting, regulations regarding ESG matters, including, but not limited to, climate change-related matters. Such regulatory approaches are not uniform, which may increase the cost and complexity of compliance. Addressing stakeholder expectations, including regulations, entails costs and any failure to successfully navigate such expectations may result in reputational harm, loss of customers or contracts, potential regulatory or investor engagement, or other adverse impacts to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Risks</w:t>
      </w:r>
    </w:p>
    <w:p>
      <w:pPr>
        <w:spacing w:after="0" w:line="239" w:lineRule="exact"/>
        <w:rPr>
          <w:sz w:val="20"/>
          <w:szCs w:val="20"/>
          <w:color w:val="auto"/>
        </w:rPr>
      </w:pPr>
    </w:p>
    <w:p>
      <w:pPr>
        <w:jc w:val="both"/>
        <w:ind w:firstLine="721"/>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Significant inflation and increasing interest rates could materially and adversely affect our business and financial results. </w:t>
      </w:r>
      <w:r>
        <w:rPr>
          <w:rFonts w:ascii="Times New Roman" w:cs="Times New Roman" w:eastAsia="Times New Roman" w:hAnsi="Times New Roman"/>
          <w:sz w:val="19"/>
          <w:szCs w:val="19"/>
          <w:color w:val="auto"/>
        </w:rPr>
        <w:t>The current inflation rate could materially and adversely affect us by increasing our operating costs, including our materials, freight, and labor costs. In a highly inflationary environment, we may be unable to raise the sales prices of our products to match the rate of inflation or our increasing operating costs, which could reduce our profit margins and have a material and adverse effect on our financial performance. Further, pressures from inflation could negatively impact the willingness and ability of our customers to purchase our products in the same volumes as have been purchased in the past or are currently being purchased. As interest rates rise to address inflation or otherwise, such increases will impact the base rates applicable in our credit arrangements and will result in borrowed funds becoming more expensive to us over time. These financing pressures also can have a negative impact on customers’ willingness to purchase our products in the same volumes as previously purchased. We also use forward contracts which are intended to mitigate the impact of certain foreign currency exposures. These forward contracts may not completely offset foreign currency gains and losses.</w:t>
      </w:r>
    </w:p>
    <w:p>
      <w:pPr>
        <w:spacing w:after="0" w:line="192"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insurance coverage may be inadequate to cover all significant risk exposures. </w:t>
      </w:r>
      <w:r>
        <w:rPr>
          <w:rFonts w:ascii="Times New Roman" w:cs="Times New Roman" w:eastAsia="Times New Roman" w:hAnsi="Times New Roman"/>
          <w:sz w:val="20"/>
          <w:szCs w:val="20"/>
          <w:color w:val="auto"/>
        </w:rPr>
        <w:t>We maintain insurance for certain risks,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we believe our insurance coverage is consistent with general practices within our industry. However, the amount of our insurance coverage may not cover all claims or liabilities and we may be forced to bear substantial costs. Consistent with market conditions in the insurance industry, premiums and deductibles for some of our insurance policies have been increasing and may continue to increase in the future. In some instances, some types of insurance may become available only for reduced amounts of coverage, if at all. In addition, there can be no assurance that our insurers would not challenge coverage for certain claims. If we were to incur a significant liability for which we were not fully insured or that our insurers disputed, it could have a material adverse effect on our business, financial condition and results of operations.</w:t>
      </w:r>
    </w:p>
    <w:p>
      <w:pPr>
        <w:spacing w:after="0" w:line="202"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involved in various litigation matters, which could have a material adverse effect on our business, financial condition or operating results. </w:t>
      </w:r>
      <w:r>
        <w:rPr>
          <w:rFonts w:ascii="Times New Roman" w:cs="Times New Roman" w:eastAsia="Times New Roman" w:hAnsi="Times New Roman"/>
          <w:sz w:val="20"/>
          <w:szCs w:val="20"/>
          <w:color w:val="auto"/>
        </w:rPr>
        <w:t>Litigation can be lengthy, expensive and disruptive to our operations, and can divert our management’s attention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away from the running of our business. Claims arising out of actual or alleged violations of law could be asserted against us by individuals, either individually or through class actions, or by governmental entities in investigations and proceedings. If we are unsuccessful in our defense in litigation matters, or any other legal proceeding, we may be forced to pay damages or fines, some of which may be in excess of our insurance coverage, and/or change our business practices, any of which could have a material adverse effect on our business, financial condition and results of operations. For more information about our litigation matters, see “Legal Proceedings” and Note 11 to the consolidated financial statements.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1349" w:right="540" w:bottom="0" w:gutter="0" w:footer="0" w:header="0"/>
          <w:type w:val="continuous"/>
        </w:sectPr>
      </w:pPr>
    </w:p>
    <w:bookmarkStart w:id="45" w:name="page46"/>
    <w:bookmarkEnd w:id="45"/>
    <w:p>
      <w:pPr>
        <w:ind w:left="1"/>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04"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3" w:lineRule="exact"/>
        <w:rPr>
          <w:sz w:val="20"/>
          <w:szCs w:val="20"/>
          <w:color w:val="auto"/>
        </w:rPr>
      </w:pPr>
    </w:p>
    <w:p>
      <w:pPr>
        <w:jc w:val="both"/>
        <w:ind w:left="1" w:firstLine="721"/>
        <w:spacing w:after="0" w:line="246" w:lineRule="auto"/>
        <w:rPr>
          <w:sz w:val="20"/>
          <w:szCs w:val="20"/>
          <w:color w:val="auto"/>
        </w:rPr>
      </w:pPr>
      <w:r>
        <w:rPr>
          <w:rFonts w:ascii="Times New Roman" w:cs="Times New Roman" w:eastAsia="Times New Roman" w:hAnsi="Times New Roman"/>
          <w:sz w:val="20"/>
          <w:szCs w:val="20"/>
          <w:color w:val="auto"/>
        </w:rPr>
        <w:t>We maintain high standards with respect to cybersecurity and our cybersecurity risk management program is integrated into our enterprise risk management framework, overseen by our Information Security Officer (“ISO”), meaning that cyber- risks are identified, evaluated, and managed with the same rigor as other strategic, operational, and financial risks. We have adopted the National Institute of Standards and Technology (NIST) Cybersecurity Framework principles as a guide for our security controls and processes, helping us structure our activities around identifying potential threats, protecting systems, detecting incidents, responding to events, and recovering operations. We engage independent third- party cybersecurity auditors and testers annually to review our Information Security Management (ISMS) and renew our ISO/IEC 27001 certification. Key elements of our program include:</w:t>
      </w:r>
    </w:p>
    <w:p>
      <w:pPr>
        <w:spacing w:after="0" w:line="210" w:lineRule="exact"/>
        <w:rPr>
          <w:sz w:val="20"/>
          <w:szCs w:val="20"/>
          <w:color w:val="auto"/>
        </w:rPr>
      </w:pPr>
    </w:p>
    <w:p>
      <w:pPr>
        <w:jc w:val="both"/>
        <w:ind w:left="361" w:hanging="361"/>
        <w:spacing w:after="0" w:line="250" w:lineRule="auto"/>
        <w:tabs>
          <w:tab w:leader="none" w:pos="361"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Preventive Controls and Monitoring</w:t>
      </w:r>
      <w:r>
        <w:rPr>
          <w:rFonts w:ascii="Times New Roman" w:cs="Times New Roman" w:eastAsia="Times New Roman" w:hAnsi="Times New Roman"/>
          <w:sz w:val="20"/>
          <w:szCs w:val="20"/>
          <w:color w:val="auto"/>
        </w:rPr>
        <w:t>: We employ multiple layers of technical controls (firewalls, intrusion detection systems,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encryption, and multi-factor authentication) and proactively monitor these controls to ensure compliance with security policies, legal regulations, contractual obligations and industry best practices. Our Global Security Operations Center operates 24/7 with real-time monitoring capabilities to rapidly investigate alerts and trigger containment measures, which helps us minimize exposure or damage if a cybersecurity incident occurs.</w:t>
      </w:r>
    </w:p>
    <w:p>
      <w:pPr>
        <w:spacing w:after="0" w:line="206" w:lineRule="exact"/>
        <w:rPr>
          <w:rFonts w:ascii="Arial" w:cs="Arial" w:eastAsia="Arial" w:hAnsi="Arial"/>
          <w:sz w:val="20"/>
          <w:szCs w:val="20"/>
          <w:color w:val="auto"/>
        </w:rPr>
      </w:pPr>
    </w:p>
    <w:p>
      <w:pPr>
        <w:jc w:val="both"/>
        <w:ind w:left="361" w:hanging="361"/>
        <w:spacing w:after="0" w:line="280" w:lineRule="auto"/>
        <w:tabs>
          <w:tab w:leader="none" w:pos="361"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Vulnerability Management and Testing</w:t>
      </w:r>
      <w:r>
        <w:rPr>
          <w:rFonts w:ascii="Times New Roman" w:cs="Times New Roman" w:eastAsia="Times New Roman" w:hAnsi="Times New Roman"/>
          <w:sz w:val="19"/>
          <w:szCs w:val="19"/>
          <w:color w:val="auto"/>
        </w:rPr>
        <w:t>: We conduct regular vulnerability assessments and annual external penetration testing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our systems and applications to probe for weaknesses. We also perform periodic exercises simulating cybersecurity incidents to test our defenses and response procedures. Findings from these tests are used to strengthen our security posture on an ongoing basis.</w:t>
      </w:r>
    </w:p>
    <w:p>
      <w:pPr>
        <w:spacing w:after="0" w:line="178" w:lineRule="exact"/>
        <w:rPr>
          <w:rFonts w:ascii="Arial" w:cs="Arial" w:eastAsia="Arial" w:hAnsi="Arial"/>
          <w:sz w:val="19"/>
          <w:szCs w:val="19"/>
          <w:color w:val="auto"/>
        </w:rPr>
      </w:pPr>
    </w:p>
    <w:p>
      <w:pPr>
        <w:jc w:val="both"/>
        <w:ind w:left="361" w:hanging="361"/>
        <w:spacing w:after="0" w:line="253" w:lineRule="auto"/>
        <w:tabs>
          <w:tab w:leader="none" w:pos="361"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Incident Response Planning</w:t>
      </w:r>
      <w:r>
        <w:rPr>
          <w:rFonts w:ascii="Times New Roman" w:cs="Times New Roman" w:eastAsia="Times New Roman" w:hAnsi="Times New Roman"/>
          <w:sz w:val="20"/>
          <w:szCs w:val="20"/>
          <w:color w:val="auto"/>
        </w:rPr>
        <w:t>: We maintain a cybersecurity incident response plan that defines procedures for addressing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events. This plan is updated and tested regularly (including through tabletop drills and simulated breach exercises) so that our teams remain practiced in incident handling. In the event of an incident, our aim is to respond swiftly to contain the issue, notify appropriate stakeholders, investigate the root cause, and recover normal operations as soon as practicable.</w:t>
      </w:r>
    </w:p>
    <w:p>
      <w:pPr>
        <w:spacing w:after="0" w:line="203" w:lineRule="exact"/>
        <w:rPr>
          <w:rFonts w:ascii="Arial" w:cs="Arial" w:eastAsia="Arial" w:hAnsi="Arial"/>
          <w:sz w:val="20"/>
          <w:szCs w:val="20"/>
          <w:color w:val="auto"/>
        </w:rPr>
      </w:pPr>
    </w:p>
    <w:p>
      <w:pPr>
        <w:jc w:val="both"/>
        <w:ind w:left="361" w:hanging="361"/>
        <w:spacing w:after="0" w:line="246" w:lineRule="auto"/>
        <w:tabs>
          <w:tab w:leader="none" w:pos="361"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Third-Party Risk Management</w:t>
      </w:r>
      <w:r>
        <w:rPr>
          <w:rFonts w:ascii="Times New Roman" w:cs="Times New Roman" w:eastAsia="Times New Roman" w:hAnsi="Times New Roman"/>
          <w:sz w:val="20"/>
          <w:szCs w:val="20"/>
          <w:color w:val="auto"/>
        </w:rPr>
        <w:t>: We carefully manage cybersecurity risks arising from our use of third-party software, cloud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and suppliers. We perform due diligence and security risk assessments on critical third-party service providers, both at onboarding and periodically during the relationship. Our procurement and legal teams work together to incorporate robust cybersecurity requirements into contracts with vendors (for example, data protection standards and incident notification obligations). Where appropriate, we require suppliers to adhere to our security policies or industry standards, and we conduct ongoing monitoring or audits of their security controls. These steps help reduce the risk that a weakness in a partner’s systems could compromise our data or operations.</w:t>
      </w:r>
    </w:p>
    <w:p>
      <w:pPr>
        <w:spacing w:after="0" w:line="214" w:lineRule="exact"/>
        <w:rPr>
          <w:rFonts w:ascii="Arial" w:cs="Arial" w:eastAsia="Arial" w:hAnsi="Arial"/>
          <w:sz w:val="20"/>
          <w:szCs w:val="20"/>
          <w:color w:val="auto"/>
        </w:rPr>
      </w:pPr>
    </w:p>
    <w:p>
      <w:pPr>
        <w:jc w:val="both"/>
        <w:ind w:left="361" w:hanging="361"/>
        <w:spacing w:after="0" w:line="253" w:lineRule="auto"/>
        <w:tabs>
          <w:tab w:leader="none" w:pos="361"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Employee Training and Awareness</w:t>
      </w:r>
      <w:r>
        <w:rPr>
          <w:rFonts w:ascii="Times New Roman" w:cs="Times New Roman" w:eastAsia="Times New Roman" w:hAnsi="Times New Roman"/>
          <w:sz w:val="20"/>
          <w:szCs w:val="20"/>
          <w:color w:val="auto"/>
        </w:rPr>
        <w:t>: A strong security culture among our employees is one of our best defenses in relation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cybersecurity events. Our employees are required to complete annual cybersecurity and data protection awareness training. This training educates personnel on topics like phishing prevention, safe computing practices, and how to report potential security issues. We supplement formal training with periodic phishing email simulations and security reminders.</w:t>
      </w:r>
    </w:p>
    <w:p>
      <w:pPr>
        <w:spacing w:after="0" w:line="193" w:lineRule="exact"/>
        <w:rPr>
          <w:sz w:val="20"/>
          <w:szCs w:val="20"/>
          <w:color w:val="auto"/>
        </w:rPr>
      </w:pPr>
    </w:p>
    <w:p>
      <w:pPr>
        <w:jc w:val="both"/>
        <w:ind w:left="1" w:firstLine="720"/>
        <w:spacing w:after="0" w:line="278" w:lineRule="auto"/>
        <w:rPr>
          <w:sz w:val="20"/>
          <w:szCs w:val="20"/>
          <w:color w:val="auto"/>
        </w:rPr>
      </w:pPr>
      <w:r>
        <w:rPr>
          <w:rFonts w:ascii="Times New Roman" w:cs="Times New Roman" w:eastAsia="Times New Roman" w:hAnsi="Times New Roman"/>
          <w:sz w:val="20"/>
          <w:szCs w:val="20"/>
          <w:color w:val="auto"/>
        </w:rPr>
        <w:t>Through a combination of these technical, procedural, and educational measures, our program is designed to detect and respond to cybersecurity threats effectively and thereby safeguard our business operations and sensitive information.</w:t>
      </w:r>
    </w:p>
    <w:p>
      <w:pPr>
        <w:spacing w:after="0" w:line="167" w:lineRule="exact"/>
        <w:rPr>
          <w:sz w:val="20"/>
          <w:szCs w:val="20"/>
          <w:color w:val="auto"/>
        </w:rPr>
      </w:pPr>
    </w:p>
    <w:p>
      <w:pPr>
        <w:jc w:val="both"/>
        <w:ind w:left="1" w:firstLine="721"/>
        <w:spacing w:after="0" w:line="263" w:lineRule="auto"/>
        <w:rPr>
          <w:sz w:val="20"/>
          <w:szCs w:val="20"/>
          <w:color w:val="auto"/>
        </w:rPr>
      </w:pPr>
      <w:r>
        <w:rPr>
          <w:rFonts w:ascii="Times New Roman" w:cs="Times New Roman" w:eastAsia="Times New Roman" w:hAnsi="Times New Roman"/>
          <w:sz w:val="19"/>
          <w:szCs w:val="19"/>
          <w:color w:val="auto"/>
        </w:rPr>
        <w:t>Cybersecurity threats are endemic to the modern business environment, and attempts to penetrate our network security are frequent and on-going. However, to date, no cybersecurity threats (including incidents) have resulted in a material impact on our business strategy, results of operations, or financial condition. Despite our efforts to identify and respond to cybersecurity threats, we cannot eliminate all risks from cybersecurity threats or provide assurances that we have not experienced an undetected cybersecurity incident, that we will not experience a cybersecurity incident in the future, or that a past cybersecurity incident will not result in a future material impact. For additional information on cybersecurity related risks, see “Item 1A. Risk Factors” of this Annual Report on Form 10-K.</w:t>
      </w:r>
    </w:p>
    <w:p>
      <w:pPr>
        <w:sectPr>
          <w:pgSz w:w="11880" w:h="15480" w:orient="portrait"/>
          <w:cols w:equalWidth="0" w:num="1">
            <w:col w:w="10801"/>
          </w:cols>
          <w:pgMar w:left="539"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1"/>
          </w:cols>
          <w:pgMar w:left="539" w:top="1347"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Governance and Oversight</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have established strong governance practices to oversee cybersecurity and IT risks. The Board of Directors has delegated primary oversight responsibility for cybersecurity to the Risk Management Committee (RMC) of the Board, which is composed of several Board members. Our Chief Information Officer (CIO) and Information Security Officer (ISO) receive security reports and threat intelligence from the Security Operations Center, which apprises the CIO and ISO of any potential incidents and the status of ongoing preventive measures and they share this information at least quarterly with the RMC. They also brief the full Board as needed on cybersecurity matters.</w:t>
      </w:r>
    </w:p>
    <w:p>
      <w:pPr>
        <w:spacing w:after="0" w:line="200" w:lineRule="exact"/>
        <w:rPr>
          <w:sz w:val="20"/>
          <w:szCs w:val="20"/>
          <w:color w:val="auto"/>
        </w:rPr>
      </w:pPr>
    </w:p>
    <w:p>
      <w:pPr>
        <w:jc w:val="both"/>
        <w:ind w:firstLine="721"/>
        <w:spacing w:after="0" w:line="263" w:lineRule="auto"/>
        <w:rPr>
          <w:sz w:val="20"/>
          <w:szCs w:val="20"/>
          <w:color w:val="auto"/>
        </w:rPr>
      </w:pPr>
      <w:r>
        <w:rPr>
          <w:rFonts w:ascii="Times New Roman" w:cs="Times New Roman" w:eastAsia="Times New Roman" w:hAnsi="Times New Roman"/>
          <w:sz w:val="19"/>
          <w:szCs w:val="19"/>
          <w:color w:val="auto"/>
        </w:rPr>
        <w:t>We have a multi-disciplinary Cybersecurity Council that connects our Information Security, IT, Corporate Audit, Finance, Legal, Compliance, and Investor Relations teams. This Council facilitates coordination of cybersecurity risk management across our organization and a unified response to incidents. In the event of a cybersecurity incident, the ISO will lead our incident response efforts and convene the Cybersecurity Council to evaluate the situation and determine appropriate next steps (for example, engaging law enforcement or cyber-experts, and considering disclosure obligations). This integrated governance structure – from the operational teams up through senior management and the Board – helps drive accountability and visibility for cybersecurity throughout our organization.</w:t>
      </w:r>
    </w:p>
    <w:p>
      <w:pPr>
        <w:spacing w:after="0" w:line="184"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Our leadership team includes seasoned professionals with deep expertise in technology and security. Our CIO, Todd Weathersby, has more than 25 years of experience in global IT and cybersecurity management, and our ISO has more than 25 years of experience in cybersecurity, risk, and compliance (with certifications such as CISSP and CISM). The knowledge and experience of our CIO and ISO, along with the Board’s active engagement, provides a strong oversight of our cybersecurity strategy. The Board and management also receive regular briefings and training sessions regarding emerging cybersecurity threats and regulatory developments to be positioned to adapt to new challenges in the cybersecurity landscape.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June 30, 2026, we owned the following principal facilities: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184"/>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0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80" w:type="dxa"/>
            <w:vAlign w:val="bottom"/>
            <w:tcBorders>
              <w:bottom w:val="single" w:sz="8" w:color="E6E6E6"/>
            </w:tcBorders>
          </w:tcPr>
          <w:p>
            <w:pPr>
              <w:spacing w:after="0"/>
              <w:rPr>
                <w:sz w:val="17"/>
                <w:szCs w:val="17"/>
                <w:color w:val="auto"/>
              </w:rPr>
            </w:pPr>
          </w:p>
        </w:tc>
        <w:tc>
          <w:tcPr>
            <w:tcW w:w="52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Description of Facility</w:t>
            </w:r>
          </w:p>
        </w:tc>
        <w:tc>
          <w:tcPr>
            <w:tcW w:w="280" w:type="dxa"/>
            <w:vAlign w:val="bottom"/>
            <w:tcBorders>
              <w:bottom w:val="single" w:sz="8" w:color="E6E6E6"/>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Footage</w:t>
            </w:r>
          </w:p>
        </w:tc>
      </w:tr>
      <w:tr>
        <w:trPr>
          <w:trHeight w:val="220"/>
        </w:trPr>
        <w:tc>
          <w:tcPr>
            <w:tcW w:w="36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Billerica, Massachusetts</w:t>
            </w:r>
          </w:p>
        </w:tc>
        <w:tc>
          <w:tcPr>
            <w:tcW w:w="280" w:type="dxa"/>
            <w:vAlign w:val="bottom"/>
            <w:shd w:val="clear" w:color="auto" w:fill="E6E6E6"/>
          </w:tcPr>
          <w:p>
            <w:pPr>
              <w:spacing w:after="0"/>
              <w:rPr>
                <w:sz w:val="19"/>
                <w:szCs w:val="19"/>
                <w:color w:val="auto"/>
              </w:rPr>
            </w:pPr>
          </w:p>
        </w:tc>
        <w:tc>
          <w:tcPr>
            <w:tcW w:w="52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Manufacturing, engineering, sales and marketing and service for</w:t>
            </w:r>
          </w:p>
        </w:tc>
        <w:tc>
          <w:tcPr>
            <w:tcW w:w="280" w:type="dxa"/>
            <w:vAlign w:val="bottom"/>
            <w:shd w:val="clear" w:color="auto" w:fill="E6E6E6"/>
          </w:tcPr>
          <w:p>
            <w:pPr>
              <w:spacing w:after="0"/>
              <w:rPr>
                <w:sz w:val="19"/>
                <w:szCs w:val="19"/>
                <w:color w:val="auto"/>
              </w:rPr>
            </w:pPr>
          </w:p>
        </w:tc>
        <w:tc>
          <w:tcPr>
            <w:tcW w:w="1320" w:type="dxa"/>
            <w:vAlign w:val="bottom"/>
            <w:shd w:val="clear" w:color="auto" w:fill="E6E6E6"/>
          </w:tcPr>
          <w:p>
            <w:pPr>
              <w:spacing w:after="0"/>
              <w:rPr>
                <w:sz w:val="19"/>
                <w:szCs w:val="19"/>
                <w:color w:val="auto"/>
              </w:rPr>
            </w:pPr>
          </w:p>
        </w:tc>
      </w:tr>
      <w:tr>
        <w:trPr>
          <w:trHeight w:val="230"/>
        </w:trPr>
        <w:tc>
          <w:tcPr>
            <w:tcW w:w="368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5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our Security division</w:t>
            </w:r>
          </w:p>
        </w:tc>
        <w:tc>
          <w:tcPr>
            <w:tcW w:w="16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186,200</w:t>
            </w:r>
          </w:p>
        </w:tc>
      </w:tr>
      <w:tr>
        <w:trPr>
          <w:trHeight w:val="210"/>
        </w:trPr>
        <w:tc>
          <w:tcPr>
            <w:tcW w:w="36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Snoqualmie, Washington</w:t>
            </w:r>
          </w:p>
        </w:tc>
        <w:tc>
          <w:tcPr>
            <w:tcW w:w="5520" w:type="dxa"/>
            <w:vAlign w:val="bottom"/>
            <w:gridSpan w:val="2"/>
          </w:tcPr>
          <w:p>
            <w:pPr>
              <w:ind w:left="280"/>
              <w:spacing w:after="0" w:line="209" w:lineRule="exact"/>
              <w:rPr>
                <w:sz w:val="20"/>
                <w:szCs w:val="20"/>
                <w:color w:val="auto"/>
              </w:rPr>
            </w:pPr>
            <w:r>
              <w:rPr>
                <w:rFonts w:ascii="Times New Roman" w:cs="Times New Roman" w:eastAsia="Times New Roman" w:hAnsi="Times New Roman"/>
                <w:sz w:val="20"/>
                <w:szCs w:val="20"/>
                <w:color w:val="auto"/>
              </w:rPr>
              <w:t>Headquarters and administrative, manufacturing, engineering,</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3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sales, marketing and service for our Healthcare division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177,000</w:t>
            </w:r>
          </w:p>
        </w:tc>
      </w:tr>
      <w:tr>
        <w:trPr>
          <w:trHeight w:val="230"/>
        </w:trPr>
        <w:tc>
          <w:tcPr>
            <w:tcW w:w="36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Batam, Indonesia</w:t>
            </w:r>
          </w:p>
        </w:tc>
        <w:tc>
          <w:tcPr>
            <w:tcW w:w="280" w:type="dxa"/>
            <w:vAlign w:val="bottom"/>
            <w:shd w:val="clear" w:color="auto" w:fill="E6E6E6"/>
          </w:tcPr>
          <w:p>
            <w:pPr>
              <w:spacing w:after="0"/>
              <w:rPr>
                <w:sz w:val="20"/>
                <w:szCs w:val="20"/>
                <w:color w:val="auto"/>
              </w:rPr>
            </w:pPr>
          </w:p>
        </w:tc>
        <w:tc>
          <w:tcPr>
            <w:tcW w:w="5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Manufacturing for our Optoelectronics and Manufacturing</w:t>
            </w:r>
          </w:p>
        </w:tc>
        <w:tc>
          <w:tcPr>
            <w:tcW w:w="280" w:type="dxa"/>
            <w:vAlign w:val="bottom"/>
            <w:shd w:val="clear" w:color="auto" w:fill="E6E6E6"/>
          </w:tcPr>
          <w:p>
            <w:pPr>
              <w:spacing w:after="0"/>
              <w:rPr>
                <w:sz w:val="20"/>
                <w:szCs w:val="20"/>
                <w:color w:val="auto"/>
              </w:rPr>
            </w:pPr>
          </w:p>
        </w:tc>
        <w:tc>
          <w:tcPr>
            <w:tcW w:w="1320" w:type="dxa"/>
            <w:vAlign w:val="bottom"/>
            <w:shd w:val="clear" w:color="auto" w:fill="E6E6E6"/>
          </w:tcPr>
          <w:p>
            <w:pPr>
              <w:spacing w:after="0"/>
              <w:rPr>
                <w:sz w:val="20"/>
                <w:szCs w:val="20"/>
                <w:color w:val="auto"/>
              </w:rPr>
            </w:pPr>
          </w:p>
        </w:tc>
      </w:tr>
      <w:tr>
        <w:trPr>
          <w:trHeight w:val="229"/>
        </w:trPr>
        <w:tc>
          <w:tcPr>
            <w:tcW w:w="36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5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division</w:t>
            </w:r>
          </w:p>
        </w:tc>
        <w:tc>
          <w:tcPr>
            <w:tcW w:w="16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93,500</w:t>
            </w:r>
          </w:p>
        </w:tc>
      </w:tr>
      <w:tr>
        <w:trPr>
          <w:trHeight w:val="211"/>
        </w:trPr>
        <w:tc>
          <w:tcPr>
            <w:tcW w:w="36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Stoke on Trent, United Kingdom</w:t>
            </w:r>
          </w:p>
        </w:tc>
        <w:tc>
          <w:tcPr>
            <w:tcW w:w="280" w:type="dxa"/>
            <w:vAlign w:val="bottom"/>
          </w:tcPr>
          <w:p>
            <w:pPr>
              <w:spacing w:after="0"/>
              <w:rPr>
                <w:sz w:val="18"/>
                <w:szCs w:val="18"/>
                <w:color w:val="auto"/>
              </w:rPr>
            </w:pPr>
          </w:p>
        </w:tc>
        <w:tc>
          <w:tcPr>
            <w:tcW w:w="524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Manufacturing, engineering, sales, marketing and service for our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3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Security division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90,000</w:t>
            </w:r>
          </w:p>
        </w:tc>
      </w:tr>
      <w:tr>
        <w:trPr>
          <w:trHeight w:val="229"/>
        </w:trPr>
        <w:tc>
          <w:tcPr>
            <w:tcW w:w="36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Surrey, United Kingdom</w:t>
            </w:r>
          </w:p>
        </w:tc>
        <w:tc>
          <w:tcPr>
            <w:tcW w:w="280" w:type="dxa"/>
            <w:vAlign w:val="bottom"/>
            <w:shd w:val="clear" w:color="auto" w:fill="E6E6E6"/>
          </w:tcPr>
          <w:p>
            <w:pPr>
              <w:spacing w:after="0"/>
              <w:rPr>
                <w:sz w:val="19"/>
                <w:szCs w:val="19"/>
                <w:color w:val="auto"/>
              </w:rPr>
            </w:pPr>
          </w:p>
        </w:tc>
        <w:tc>
          <w:tcPr>
            <w:tcW w:w="5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shd w:val="clear" w:color="auto" w:fill="E6E6E6"/>
              </w:rPr>
              <w:t>Manufacturing, engineering, sales, marketing and service for our</w:t>
            </w:r>
          </w:p>
        </w:tc>
        <w:tc>
          <w:tcPr>
            <w:tcW w:w="280" w:type="dxa"/>
            <w:vAlign w:val="bottom"/>
            <w:shd w:val="clear" w:color="auto" w:fill="E6E6E6"/>
          </w:tcPr>
          <w:p>
            <w:pPr>
              <w:spacing w:after="0"/>
              <w:rPr>
                <w:sz w:val="19"/>
                <w:szCs w:val="19"/>
                <w:color w:val="auto"/>
              </w:rPr>
            </w:pPr>
          </w:p>
        </w:tc>
        <w:tc>
          <w:tcPr>
            <w:tcW w:w="1320" w:type="dxa"/>
            <w:vAlign w:val="bottom"/>
            <w:shd w:val="clear" w:color="auto" w:fill="E6E6E6"/>
          </w:tcPr>
          <w:p>
            <w:pPr>
              <w:spacing w:after="0"/>
              <w:rPr>
                <w:sz w:val="19"/>
                <w:szCs w:val="19"/>
                <w:color w:val="auto"/>
              </w:rPr>
            </w:pPr>
          </w:p>
        </w:tc>
      </w:tr>
      <w:tr>
        <w:trPr>
          <w:trHeight w:val="230"/>
        </w:trPr>
        <w:tc>
          <w:tcPr>
            <w:tcW w:w="368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5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Security division</w:t>
            </w:r>
          </w:p>
        </w:tc>
        <w:tc>
          <w:tcPr>
            <w:tcW w:w="16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59,000</w:t>
            </w: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1347" w:right="540" w:bottom="0" w:gutter="0" w:footer="0" w:header="0"/>
          <w:type w:val="continuous"/>
        </w:sectPr>
      </w:pPr>
    </w:p>
    <w:bookmarkStart w:id="47" w:name="page48"/>
    <w:bookmarkEnd w:id="47"/>
    <w:p>
      <w:pPr>
        <w:ind w:left="720"/>
        <w:spacing w:after="0"/>
        <w:rPr>
          <w:sz w:val="20"/>
          <w:szCs w:val="20"/>
          <w:color w:val="auto"/>
        </w:rPr>
      </w:pPr>
      <w:r>
        <w:rPr>
          <w:rFonts w:ascii="Times New Roman" w:cs="Times New Roman" w:eastAsia="Times New Roman" w:hAnsi="Times New Roman"/>
          <w:sz w:val="20"/>
          <w:szCs w:val="20"/>
          <w:color w:val="auto"/>
        </w:rPr>
        <w:t>As of June 30, 2026, we leased the following principal facilities: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Borders>
              <w:bottom w:val="single" w:sz="8" w:color="E6E6E6"/>
            </w:tcBorders>
          </w:tcPr>
          <w:p>
            <w:pPr>
              <w:spacing w:after="0"/>
              <w:rPr>
                <w:sz w:val="17"/>
                <w:szCs w:val="17"/>
                <w:color w:val="auto"/>
              </w:rPr>
            </w:pPr>
          </w:p>
        </w:tc>
        <w:tc>
          <w:tcPr>
            <w:tcW w:w="45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Description of Facility</w:t>
            </w:r>
          </w:p>
        </w:tc>
        <w:tc>
          <w:tcPr>
            <w:tcW w:w="24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24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20"/>
        </w:trPr>
        <w:tc>
          <w:tcPr>
            <w:tcW w:w="3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Dallas, Texas</w:t>
            </w:r>
          </w:p>
        </w:tc>
        <w:tc>
          <w:tcPr>
            <w:tcW w:w="240" w:type="dxa"/>
            <w:vAlign w:val="bottom"/>
            <w:shd w:val="clear" w:color="auto" w:fill="E6E6E6"/>
          </w:tcPr>
          <w:p>
            <w:pPr>
              <w:spacing w:after="0"/>
              <w:rPr>
                <w:sz w:val="19"/>
                <w:szCs w:val="19"/>
                <w:color w:val="auto"/>
              </w:rPr>
            </w:pPr>
          </w:p>
        </w:tc>
        <w:tc>
          <w:tcPr>
            <w:tcW w:w="480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Manufacturing, engineering, sales and marketing and</w:t>
            </w:r>
          </w:p>
        </w:tc>
        <w:tc>
          <w:tcPr>
            <w:tcW w:w="11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r>
      <w:tr>
        <w:trPr>
          <w:trHeight w:val="230"/>
        </w:trPr>
        <w:tc>
          <w:tcPr>
            <w:tcW w:w="32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4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service for our Security division</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119,400</w:t>
            </w:r>
          </w:p>
        </w:tc>
        <w:tc>
          <w:tcPr>
            <w:tcW w:w="240" w:type="dxa"/>
            <w:vAlign w:val="bottom"/>
            <w:shd w:val="clear" w:color="auto" w:fill="E6E6E6"/>
          </w:tcPr>
          <w:p>
            <w:pPr>
              <w:spacing w:after="0"/>
              <w:rPr>
                <w:sz w:val="20"/>
                <w:szCs w:val="20"/>
                <w:color w:val="auto"/>
              </w:rPr>
            </w:pPr>
          </w:p>
        </w:tc>
        <w:tc>
          <w:tcPr>
            <w:tcW w:w="11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r>
      <w:tr>
        <w:trPr>
          <w:trHeight w:val="210"/>
        </w:trPr>
        <w:tc>
          <w:tcPr>
            <w:tcW w:w="32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Hawthorne, California</w:t>
            </w:r>
          </w:p>
        </w:tc>
        <w:tc>
          <w:tcPr>
            <w:tcW w:w="240" w:type="dxa"/>
            <w:vAlign w:val="bottom"/>
          </w:tcPr>
          <w:p>
            <w:pPr>
              <w:spacing w:after="0"/>
              <w:rPr>
                <w:sz w:val="18"/>
                <w:szCs w:val="18"/>
                <w:color w:val="auto"/>
              </w:rPr>
            </w:pPr>
          </w:p>
        </w:tc>
        <w:tc>
          <w:tcPr>
            <w:tcW w:w="48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Corporate headquarters and administrative,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manufacturing, engineering, sales and marketing and</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for our Optoelectronics and Manufacturing</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division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88,000</w:t>
            </w:r>
          </w:p>
        </w:tc>
        <w:tc>
          <w:tcPr>
            <w:tcW w:w="13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2027</w:t>
            </w:r>
          </w:p>
        </w:tc>
      </w:tr>
      <w:tr>
        <w:trPr>
          <w:trHeight w:val="230"/>
        </w:trPr>
        <w:tc>
          <w:tcPr>
            <w:tcW w:w="3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Torrance, California</w:t>
            </w:r>
          </w:p>
        </w:tc>
        <w:tc>
          <w:tcPr>
            <w:tcW w:w="240" w:type="dxa"/>
            <w:vAlign w:val="bottom"/>
            <w:shd w:val="clear" w:color="auto" w:fill="E6E6E6"/>
          </w:tcPr>
          <w:p>
            <w:pPr>
              <w:spacing w:after="0"/>
              <w:rPr>
                <w:sz w:val="20"/>
                <w:szCs w:val="20"/>
                <w:color w:val="auto"/>
              </w:rPr>
            </w:pPr>
          </w:p>
        </w:tc>
        <w:tc>
          <w:tcPr>
            <w:tcW w:w="4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Manufacturing, engineering, sales and marketing and</w:t>
            </w:r>
          </w:p>
        </w:tc>
        <w:tc>
          <w:tcPr>
            <w:tcW w:w="24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r>
      <w:tr>
        <w:trPr>
          <w:trHeight w:val="230"/>
        </w:trPr>
        <w:tc>
          <w:tcPr>
            <w:tcW w:w="32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4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service for our Security division</w:t>
            </w:r>
          </w:p>
        </w:tc>
        <w:tc>
          <w:tcPr>
            <w:tcW w:w="24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91,900</w:t>
            </w:r>
          </w:p>
        </w:tc>
        <w:tc>
          <w:tcPr>
            <w:tcW w:w="1380" w:type="dxa"/>
            <w:vAlign w:val="bottom"/>
            <w:gridSpan w:val="2"/>
            <w:shd w:val="clear" w:color="auto" w:fill="E6E6E6"/>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2027</w:t>
            </w:r>
          </w:p>
        </w:tc>
      </w:tr>
      <w:tr>
        <w:trPr>
          <w:trHeight w:val="210"/>
        </w:trPr>
        <w:tc>
          <w:tcPr>
            <w:tcW w:w="32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Batam, Indonesia (1)</w:t>
            </w:r>
          </w:p>
        </w:tc>
        <w:tc>
          <w:tcPr>
            <w:tcW w:w="240" w:type="dxa"/>
            <w:vAlign w:val="bottom"/>
          </w:tcPr>
          <w:p>
            <w:pPr>
              <w:spacing w:after="0"/>
              <w:rPr>
                <w:sz w:val="18"/>
                <w:szCs w:val="18"/>
                <w:color w:val="auto"/>
              </w:rPr>
            </w:pPr>
          </w:p>
        </w:tc>
        <w:tc>
          <w:tcPr>
            <w:tcW w:w="48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Manufacturing for our Optoelectronics and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Manufacturing division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101,200</w:t>
            </w:r>
          </w:p>
        </w:tc>
        <w:tc>
          <w:tcPr>
            <w:tcW w:w="13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2027 ~ 2028</w:t>
            </w:r>
          </w:p>
        </w:tc>
      </w:tr>
      <w:tr>
        <w:trPr>
          <w:trHeight w:val="230"/>
        </w:trPr>
        <w:tc>
          <w:tcPr>
            <w:tcW w:w="3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Johor Bahru, Malaysia(1)</w:t>
            </w:r>
          </w:p>
        </w:tc>
        <w:tc>
          <w:tcPr>
            <w:tcW w:w="240" w:type="dxa"/>
            <w:vAlign w:val="bottom"/>
            <w:shd w:val="clear" w:color="auto" w:fill="E6E6E6"/>
          </w:tcPr>
          <w:p>
            <w:pPr>
              <w:spacing w:after="0"/>
              <w:rPr>
                <w:sz w:val="20"/>
                <w:szCs w:val="20"/>
                <w:color w:val="auto"/>
              </w:rPr>
            </w:pPr>
          </w:p>
        </w:tc>
        <w:tc>
          <w:tcPr>
            <w:tcW w:w="4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Manufacturing, engineering, sales and service for our</w:t>
            </w:r>
          </w:p>
        </w:tc>
        <w:tc>
          <w:tcPr>
            <w:tcW w:w="24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r>
      <w:tr>
        <w:trPr>
          <w:trHeight w:val="229"/>
        </w:trPr>
        <w:tc>
          <w:tcPr>
            <w:tcW w:w="32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Optoelectronics and Manufacturing division</w:t>
            </w:r>
          </w:p>
        </w:tc>
        <w:tc>
          <w:tcPr>
            <w:tcW w:w="24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110,100</w:t>
            </w:r>
          </w:p>
        </w:tc>
        <w:tc>
          <w:tcPr>
            <w:tcW w:w="1380" w:type="dxa"/>
            <w:vAlign w:val="bottom"/>
            <w:gridSpan w:val="2"/>
            <w:shd w:val="clear" w:color="auto" w:fill="E6E6E6"/>
          </w:tcPr>
          <w:p>
            <w:pPr>
              <w:jc w:val="center"/>
              <w:ind w:left="140"/>
              <w:spacing w:after="0"/>
              <w:rPr>
                <w:sz w:val="20"/>
                <w:szCs w:val="20"/>
                <w:color w:val="auto"/>
              </w:rPr>
            </w:pPr>
            <w:r>
              <w:rPr>
                <w:rFonts w:ascii="Times New Roman" w:cs="Times New Roman" w:eastAsia="Times New Roman" w:hAnsi="Times New Roman"/>
                <w:sz w:val="20"/>
                <w:szCs w:val="20"/>
                <w:color w:val="auto"/>
              </w:rPr>
              <w:t>2027 ~ 2028</w:t>
            </w:r>
          </w:p>
        </w:tc>
      </w:tr>
      <w:tr>
        <w:trPr>
          <w:trHeight w:val="211"/>
        </w:trPr>
        <w:tc>
          <w:tcPr>
            <w:tcW w:w="32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Johor Bahru, Malaysia(1)</w:t>
            </w:r>
          </w:p>
        </w:tc>
        <w:tc>
          <w:tcPr>
            <w:tcW w:w="5040" w:type="dxa"/>
            <w:vAlign w:val="bottom"/>
            <w:gridSpan w:val="3"/>
          </w:tcPr>
          <w:p>
            <w:pPr>
              <w:ind w:left="240"/>
              <w:spacing w:after="0" w:line="211" w:lineRule="exact"/>
              <w:rPr>
                <w:sz w:val="20"/>
                <w:szCs w:val="20"/>
                <w:color w:val="auto"/>
              </w:rPr>
            </w:pPr>
            <w:r>
              <w:rPr>
                <w:rFonts w:ascii="Times New Roman" w:cs="Times New Roman" w:eastAsia="Times New Roman" w:hAnsi="Times New Roman"/>
                <w:sz w:val="20"/>
                <w:szCs w:val="20"/>
                <w:color w:val="auto"/>
              </w:rPr>
              <w:t>Manufacturing, engineering, sales and service for our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Security division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167,600</w:t>
            </w:r>
          </w:p>
        </w:tc>
        <w:tc>
          <w:tcPr>
            <w:tcW w:w="13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2028</w:t>
            </w:r>
          </w:p>
        </w:tc>
      </w:tr>
      <w:tr>
        <w:trPr>
          <w:trHeight w:val="229"/>
        </w:trPr>
        <w:tc>
          <w:tcPr>
            <w:tcW w:w="3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Dallas, Texas</w:t>
            </w:r>
          </w:p>
        </w:tc>
        <w:tc>
          <w:tcPr>
            <w:tcW w:w="240" w:type="dxa"/>
            <w:vAlign w:val="bottom"/>
            <w:shd w:val="clear" w:color="auto" w:fill="E6E6E6"/>
          </w:tcPr>
          <w:p>
            <w:pPr>
              <w:spacing w:after="0"/>
              <w:rPr>
                <w:sz w:val="19"/>
                <w:szCs w:val="19"/>
                <w:color w:val="auto"/>
              </w:rPr>
            </w:pPr>
          </w:p>
        </w:tc>
        <w:tc>
          <w:tcPr>
            <w:tcW w:w="4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Manufacturing and engineering for our Security division</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102,300</w:t>
            </w:r>
          </w:p>
        </w:tc>
        <w:tc>
          <w:tcPr>
            <w:tcW w:w="1380" w:type="dxa"/>
            <w:vAlign w:val="bottom"/>
            <w:gridSpan w:val="2"/>
            <w:shd w:val="clear" w:color="auto" w:fill="E6E6E6"/>
          </w:tcPr>
          <w:p>
            <w:pPr>
              <w:jc w:val="center"/>
              <w:ind w:left="120"/>
              <w:spacing w:after="0"/>
              <w:rPr>
                <w:sz w:val="20"/>
                <w:szCs w:val="20"/>
                <w:color w:val="auto"/>
              </w:rPr>
            </w:pPr>
            <w:r>
              <w:rPr>
                <w:rFonts w:ascii="Times New Roman" w:cs="Times New Roman" w:eastAsia="Times New Roman" w:hAnsi="Times New Roman"/>
                <w:sz w:val="20"/>
                <w:szCs w:val="20"/>
                <w:color w:val="auto"/>
                <w:w w:val="99"/>
              </w:rPr>
              <w:t>2035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199pt"/>
            </w:pict>
          </mc:Fallback>
        </mc:AlternateConten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This is comprised of multiple leases at the same or nearby facilities.</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believe that our facilities are in adequate condition to support our current operations but expect to expand as necessary to support our anticipated future growth. We currently anticipate that we will be able to renew the leases that are scheduled to expire in the next few years on terms that are substantially the same as those currently in effect. However, even if we were not able to renew one or more of the leases, we believe that suitable substitute space is available to relocate any of the facilities. Accordingly, we do not believe that our failure to renew any of the leases that are scheduled to expire in the next few years will have a material adverse effect on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From time to time, we are subject to litigation, legal proceedings, and claims arising in the ordinary course of our business or otherwise. More information regarding legal proceedings in which we are involved can be found under Note 11, “Commitments and Contingencies” of the Notes to the Consolidated Financial Statements in Item 8, which is incorporated by reference into this Item 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Market and Other Information</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“OSIS.”</w:t>
      </w:r>
    </w:p>
    <w:p>
      <w:pPr>
        <w:spacing w:after="0" w:line="240"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As of August 17, 2026, there were approximately 78 holders of record of our common stock. This number does not include beneficial owners holding shares through nominees or in “street” name.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We have not paid any dividends since the consummation of our initial public offering in 1997, and we have no intention of paying dividends for the foreseeable future.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800"/>
          </w:cols>
          <w:pgMar w:left="540" w:top="1349" w:right="54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sell any unregistered shares of common stock during the fiscal year ended June 30, 2026.</w:t>
      </w:r>
    </w:p>
    <w:p>
      <w:pPr>
        <w:spacing w:after="0" w:line="240" w:lineRule="exact"/>
        <w:rPr>
          <w:sz w:val="20"/>
          <w:szCs w:val="20"/>
          <w:color w:val="auto"/>
        </w:rPr>
      </w:pPr>
    </w:p>
    <w:p>
      <w:pPr>
        <w:jc w:val="both"/>
        <w:ind w:firstLine="721"/>
        <w:spacing w:after="0" w:line="257" w:lineRule="auto"/>
        <w:rPr>
          <w:sz w:val="20"/>
          <w:szCs w:val="20"/>
          <w:color w:val="auto"/>
        </w:rPr>
      </w:pPr>
      <w:r>
        <w:rPr>
          <w:rFonts w:ascii="Times New Roman" w:cs="Times New Roman" w:eastAsia="Times New Roman" w:hAnsi="Times New Roman"/>
          <w:sz w:val="19"/>
          <w:szCs w:val="19"/>
          <w:color w:val="auto"/>
        </w:rPr>
        <w:t>In November 2025, we issued an aggregate of $575.0 million principal amount of 0.5% convertible senior notes due in February 2031. The 2031 Notes were issued to the initial purchasers in reliance upon Section 4(a)(2) of the Securities Act in transactions not involving any public offering. The 2031 Notes were resold by the initial purchasers to persons whom the initial purchasers reasonably believe are “qualified institutional buyers,” as defined in, and in accordance with, Rule 144A under the Securities Act. Any shares of our common stock that may be issued upon conversion of the 2031 Notes will be issued in reliance upon Section 3(a)(9) of the Securities Act as involving an exchange by us exclusively with our security holders. Initially, a maximum of 1,625,122 shares of our common stock may be issued upon conversion of the 2031 Notes based on the initial maximum conversion rate of 2.8263 shares of common stock per $1,000 principal amount of 2031 Notes which is subject to customary anti- dilution adjustment provisions.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Excluding shares tendered to satisfy minimum statutory withholding obligations related to the vesting of RSUs, we repurchased 1,111,825 shares of common stock during fiscal year 2026 for $271.9 million. These repurchases included 546,945 shares acquired during the second fiscal quarter at an average price of $267.03 per share and 564,880 shares acquired during the fourth fiscal quarter at an average price of $218.82 per share. As of June 30, 2026, the maximum number of shares of common stock that may yet be purchased under the current plan authorized by the Board of Directors is 78,731.</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contains information about the shares of common stock we purchased during the quarter ended June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184"/>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185"/>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 of</w:t>
            </w:r>
          </w:p>
        </w:tc>
      </w:tr>
      <w:tr>
        <w:trPr>
          <w:trHeight w:val="184"/>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w:t>
            </w: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(or</w:t>
            </w:r>
          </w:p>
        </w:tc>
      </w:tr>
      <w:tr>
        <w:trPr>
          <w:trHeight w:val="184"/>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(or units)</w:t>
            </w: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units)</w:t>
            </w:r>
          </w:p>
        </w:tc>
      </w:tr>
      <w:tr>
        <w:trPr>
          <w:trHeight w:val="185"/>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 may</w:t>
            </w:r>
          </w:p>
        </w:tc>
      </w:tr>
      <w:tr>
        <w:trPr>
          <w:trHeight w:val="184"/>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yet be purchased</w:t>
            </w:r>
          </w:p>
        </w:tc>
      </w:tr>
      <w:tr>
        <w:trPr>
          <w:trHeight w:val="184"/>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60" w:type="dxa"/>
            <w:vAlign w:val="bottom"/>
          </w:tcPr>
          <w:p>
            <w:pPr>
              <w:spacing w:after="0"/>
              <w:rPr>
                <w:sz w:val="15"/>
                <w:szCs w:val="15"/>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paid per share (or</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 plans or</w:t>
            </w: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05"/>
        </w:trPr>
        <w:tc>
          <w:tcPr>
            <w:tcW w:w="48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6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unit)</w:t>
            </w:r>
          </w:p>
        </w:tc>
        <w:tc>
          <w:tcPr>
            <w:tcW w:w="1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160" w:type="dxa"/>
            <w:vAlign w:val="bottom"/>
            <w:tcBorders>
              <w:bottom w:val="single" w:sz="8" w:color="E6E6E6"/>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Programs (1)</w:t>
            </w:r>
          </w:p>
        </w:tc>
      </w:tr>
      <w:tr>
        <w:trPr>
          <w:trHeight w:val="219"/>
        </w:trPr>
        <w:tc>
          <w:tcPr>
            <w:tcW w:w="4840" w:type="dxa"/>
            <w:vAlign w:val="bottom"/>
            <w:gridSpan w:val="2"/>
            <w:shd w:val="clear" w:color="auto" w:fill="E6E6E6"/>
          </w:tcPr>
          <w:p>
            <w:pPr>
              <w:spacing w:after="0" w:line="219" w:lineRule="exact"/>
              <w:rPr>
                <w:sz w:val="20"/>
                <w:szCs w:val="20"/>
                <w:color w:val="auto"/>
              </w:rPr>
            </w:pPr>
            <w:r>
              <w:rPr>
                <w:rFonts w:ascii="Times New Roman" w:cs="Times New Roman" w:eastAsia="Times New Roman" w:hAnsi="Times New Roman"/>
                <w:sz w:val="20"/>
                <w:szCs w:val="20"/>
                <w:color w:val="auto"/>
              </w:rPr>
              <w:t>April 1 to April 30, 2026</w:t>
            </w:r>
          </w:p>
        </w:tc>
        <w:tc>
          <w:tcPr>
            <w:tcW w:w="126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right w:val="single" w:sz="8" w:color="E6E6E6"/>
            </w:tcBorders>
            <w:gridSpan w:val="2"/>
            <w:shd w:val="clear" w:color="auto" w:fill="E6E6E6"/>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gridSpan w:val="2"/>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643,611</w:t>
            </w: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 to May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398,966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220.38</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398,966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244,645</w:t>
            </w:r>
          </w:p>
        </w:tc>
      </w:tr>
      <w:tr>
        <w:trPr>
          <w:trHeight w:val="230"/>
        </w:trPr>
        <w:tc>
          <w:tcPr>
            <w:tcW w:w="48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June 1 to June 30, 2026</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165,914</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215.08</w:t>
            </w:r>
          </w:p>
        </w:tc>
        <w:tc>
          <w:tcPr>
            <w:tcW w:w="160" w:type="dxa"/>
            <w:vAlign w:val="bottom"/>
            <w:tcBorders>
              <w:right w:val="single" w:sz="8" w:color="E6E6E6"/>
            </w:tcBorders>
            <w:shd w:val="clear" w:color="auto" w:fill="E6E6E6"/>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165,914</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78,731</w:t>
            </w:r>
          </w:p>
        </w:tc>
      </w:tr>
      <w:tr>
        <w:trPr>
          <w:trHeight w:val="230"/>
        </w:trPr>
        <w:tc>
          <w:tcPr>
            <w:tcW w:w="48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564,880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564,880</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-621665</wp:posOffset>
            </wp:positionV>
            <wp:extent cx="878205"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extLst>
                    </a:blip>
                    <a:srcRect/>
                    <a:stretch>
                      <a:fillRect/>
                    </a:stretch>
                  </pic:blipFill>
                  <pic:spPr bwMode="auto">
                    <a:xfrm>
                      <a:off x="0" y="0"/>
                      <a:ext cx="878205" cy="17081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-329565</wp:posOffset>
            </wp:positionV>
            <wp:extent cx="87820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7">
                      <a:extLst>
                        <a:ext uri="{28A0092B-C50C-407E-A947-70E740481C1C}"/>
                      </a:extLst>
                    </a:blip>
                    <a:srcRect/>
                    <a:stretch>
                      <a:fillRect/>
                    </a:stretch>
                  </pic:blipFill>
                  <pic:spPr bwMode="auto">
                    <a:xfrm>
                      <a:off x="0" y="0"/>
                      <a:ext cx="878205" cy="1714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71386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34.9pt,8.35pt" o:allowincell="f" strokecolor="#000000" strokeweight="1.02pt"/>
            </w:pict>
          </mc:Fallback>
        </mc:AlternateContent>
      </w:r>
    </w:p>
    <w:p>
      <w:pPr>
        <w:spacing w:after="0" w:line="190" w:lineRule="exact"/>
        <w:rPr>
          <w:sz w:val="20"/>
          <w:szCs w:val="20"/>
          <w:color w:val="auto"/>
        </w:rPr>
      </w:pPr>
    </w:p>
    <w:p>
      <w:pPr>
        <w:jc w:val="both"/>
        <w:ind w:left="360" w:hanging="360"/>
        <w:spacing w:after="0" w:line="249"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2022, when there were 1,131,301 shares remaining authorized to repurchase under the then-existing share repurchase program, the Board of Directors renewed the authorization and revised the maximum number of shares to 2,000,000 shares authorized under the stock repurchase program. Upon repurchase, shares of common stock are restored to the status of authorized but unissued shares, and we record them as a reduction in the number of shares of common stock issued and outstanding in our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800"/>
          </w:cols>
          <w:pgMar w:left="540" w:top="1347" w:right="5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information concerning our equity compensation plans as of June 30, 2026.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r>
      <w:tr>
        <w:trPr>
          <w:trHeight w:val="184"/>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r>
      <w:tr>
        <w:trPr>
          <w:trHeight w:val="185"/>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to</w:t>
            </w:r>
          </w:p>
        </w:tc>
        <w:tc>
          <w:tcPr>
            <w:tcW w:w="160" w:type="dxa"/>
            <w:vAlign w:val="bottom"/>
          </w:tcPr>
          <w:p>
            <w:pPr>
              <w:spacing w:after="0"/>
              <w:rPr>
                <w:sz w:val="16"/>
                <w:szCs w:val="16"/>
                <w:color w:val="auto"/>
              </w:rPr>
            </w:pPr>
          </w:p>
        </w:tc>
        <w:tc>
          <w:tcPr>
            <w:tcW w:w="1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Mincho" w:cs="MS PMincho" w:eastAsia="MS PMincho" w:hAnsi="MS PMincho"/>
                <w:sz w:val="16"/>
                <w:szCs w:val="16"/>
                <w:b w:val="1"/>
                <w:bCs w:val="1"/>
                <w:color w:val="auto"/>
              </w:rPr>
              <w:t>‑</w:t>
            </w: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future issuance under</w:t>
            </w:r>
          </w:p>
        </w:tc>
      </w:tr>
      <w:tr>
        <w:trPr>
          <w:trHeight w:val="184"/>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 issued upon exercise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equity compensation</w:t>
            </w:r>
          </w:p>
        </w:tc>
      </w:tr>
      <w:tr>
        <w:trPr>
          <w:trHeight w:val="184"/>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outstanding options,</w:t>
            </w:r>
          </w:p>
        </w:tc>
        <w:tc>
          <w:tcPr>
            <w:tcW w:w="16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140" w:type="dxa"/>
            <w:vAlign w:val="bottom"/>
          </w:tcPr>
          <w:p>
            <w:pPr>
              <w:spacing w:after="0"/>
              <w:rPr>
                <w:sz w:val="15"/>
                <w:szCs w:val="15"/>
                <w:color w:val="auto"/>
              </w:rPr>
            </w:pPr>
          </w:p>
        </w:tc>
        <w:tc>
          <w:tcPr>
            <w:tcW w:w="22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plans (excluding securities</w:t>
            </w:r>
          </w:p>
        </w:tc>
      </w:tr>
      <w:tr>
        <w:trPr>
          <w:trHeight w:val="204"/>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r>
      <w:tr>
        <w:trPr>
          <w:trHeight w:val="173"/>
        </w:trPr>
        <w:tc>
          <w:tcPr>
            <w:tcW w:w="5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448"/>
              <w:spacing w:after="0" w:line="173" w:lineRule="exact"/>
              <w:rPr>
                <w:sz w:val="20"/>
                <w:szCs w:val="20"/>
                <w:color w:val="auto"/>
              </w:rPr>
            </w:pPr>
            <w:r>
              <w:rPr>
                <w:rFonts w:ascii="Times New Roman" w:cs="Times New Roman" w:eastAsia="Times New Roman" w:hAnsi="Times New Roman"/>
                <w:sz w:val="16"/>
                <w:szCs w:val="16"/>
                <w:b w:val="1"/>
                <w:bCs w:val="1"/>
                <w:color w:val="auto"/>
              </w:rPr>
              <w:t>(b)</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(c)</w:t>
            </w:r>
          </w:p>
        </w:tc>
        <w:tc>
          <w:tcPr>
            <w:tcW w:w="460" w:type="dxa"/>
            <w:vAlign w:val="bottom"/>
          </w:tcPr>
          <w:p>
            <w:pPr>
              <w:spacing w:after="0"/>
              <w:rPr>
                <w:sz w:val="15"/>
                <w:szCs w:val="15"/>
                <w:color w:val="auto"/>
              </w:rPr>
            </w:pPr>
          </w:p>
        </w:tc>
      </w:tr>
      <w:tr>
        <w:trPr>
          <w:trHeight w:val="230"/>
        </w:trPr>
        <w:tc>
          <w:tcPr>
            <w:tcW w:w="50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7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51,449</w:t>
            </w:r>
          </w:p>
        </w:tc>
        <w:tc>
          <w:tcPr>
            <w:tcW w:w="30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147.69</w:t>
            </w:r>
          </w:p>
        </w:tc>
        <w:tc>
          <w:tcPr>
            <w:tcW w:w="242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1,555,659 (1)(2)</w:t>
            </w:r>
          </w:p>
        </w:tc>
      </w:tr>
      <w:tr>
        <w:trPr>
          <w:trHeight w:val="229"/>
        </w:trPr>
        <w:tc>
          <w:tcPr>
            <w:tcW w:w="50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E6E6E6"/>
            </w:tcBorders>
          </w:tcPr>
          <w:p>
            <w:pPr>
              <w:spacing w:after="0"/>
              <w:rPr>
                <w:sz w:val="19"/>
                <w:szCs w:val="19"/>
                <w:color w:val="auto"/>
              </w:rPr>
            </w:pPr>
          </w:p>
        </w:tc>
      </w:tr>
      <w:tr>
        <w:trPr>
          <w:trHeight w:val="230"/>
        </w:trPr>
        <w:tc>
          <w:tcPr>
            <w:tcW w:w="5080" w:type="dxa"/>
            <w:vAlign w:val="bottom"/>
            <w:shd w:val="clear" w:color="auto" w:fill="E6E6E6"/>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E6E6E6"/>
          </w:tcPr>
          <w:p>
            <w:pPr>
              <w:spacing w:after="0"/>
              <w:rPr>
                <w:sz w:val="20"/>
                <w:szCs w:val="20"/>
                <w:color w:val="auto"/>
              </w:rPr>
            </w:pPr>
          </w:p>
        </w:tc>
        <w:tc>
          <w:tcPr>
            <w:tcW w:w="1600" w:type="dxa"/>
            <w:vAlign w:val="bottom"/>
            <w:tcBorders>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51,449</w:t>
            </w:r>
          </w:p>
        </w:tc>
        <w:tc>
          <w:tcPr>
            <w:tcW w:w="16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147.69</w:t>
            </w:r>
          </w:p>
        </w:tc>
        <w:tc>
          <w:tcPr>
            <w:tcW w:w="140" w:type="dxa"/>
            <w:vAlign w:val="bottom"/>
            <w:shd w:val="clear" w:color="auto" w:fill="E6E6E6"/>
          </w:tcPr>
          <w:p>
            <w:pPr>
              <w:spacing w:after="0"/>
              <w:rPr>
                <w:sz w:val="20"/>
                <w:szCs w:val="20"/>
                <w:color w:val="auto"/>
              </w:rPr>
            </w:pPr>
          </w:p>
        </w:tc>
        <w:tc>
          <w:tcPr>
            <w:tcW w:w="1820" w:type="dxa"/>
            <w:vAlign w:val="bottom"/>
            <w:tcBorders>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1,555,659</w:t>
            </w:r>
          </w:p>
        </w:tc>
        <w:tc>
          <w:tcPr>
            <w:tcW w:w="460" w:type="dxa"/>
            <w:vAlign w:val="bottom"/>
            <w:shd w:val="clear" w:color="auto" w:fill="E6E6E6"/>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199pt"/>
            </w:pict>
          </mc:Fallback>
        </mc:AlternateContent>
      </w:r>
    </w:p>
    <w:p>
      <w:pPr>
        <w:spacing w:after="0" w:line="191" w:lineRule="exact"/>
        <w:rPr>
          <w:sz w:val="20"/>
          <w:szCs w:val="20"/>
          <w:color w:val="auto"/>
        </w:rPr>
      </w:pPr>
    </w:p>
    <w:p>
      <w:pPr>
        <w:ind w:left="360" w:hanging="360"/>
        <w:spacing w:after="0" w:line="278"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shares are available for future issuance under our Amended and Restated 2012 Incentive Award Plan (the “OSI Plan”), which was approved by our shareholders on December 10, 2020 and amended on December 12, 2023.</w:t>
      </w:r>
    </w:p>
    <w:p>
      <w:pPr>
        <w:spacing w:after="0" w:line="166" w:lineRule="exact"/>
        <w:rPr>
          <w:rFonts w:ascii="Times New Roman" w:cs="Times New Roman" w:eastAsia="Times New Roman" w:hAnsi="Times New Roman"/>
          <w:sz w:val="20"/>
          <w:szCs w:val="20"/>
          <w:color w:val="auto"/>
        </w:rPr>
      </w:pPr>
    </w:p>
    <w:p>
      <w:pPr>
        <w:ind w:left="360" w:hanging="360"/>
        <w:spacing w:after="0" w:line="278"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restricted stock units or other awards that convey the full value of the shares subject to the award are counted as 1.87 shares for every one award granted.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3"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graph below compares the cumulative total stockholder return for the period beginning on the market close on the last trading day before the beginning of our fifth preceding fiscal year through and including the end of our last completed fiscal year with</w:t>
      </w:r>
    </w:p>
    <w:p>
      <w:pPr>
        <w:jc w:val="right"/>
        <w:ind w:left="720" w:right="940" w:hanging="720"/>
        <w:spacing w:after="0" w:line="475" w:lineRule="auto"/>
        <w:tabs>
          <w:tab w:leader="none" w:pos="27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Nasdaq Composite Index and (b) a peer group of publicly traded issuer(s) with which we have generally competed. The old peer group includes the following companies: Conmed Corp, Leidos Holdings Inc. and Smiths Group plc.</w:t>
      </w:r>
    </w:p>
    <w:p>
      <w:pPr>
        <w:spacing w:after="0" w:line="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new peer group includes the following companies: Conmed Corp, Leidos Holdings Inc. and Evolv Technologies Holdings, Inc., but excludes Smiths Group Plc which is in the process of divesting Smiths Detection. Because of this pending divestiture, we believe that Evolv Technologies Holdings, Inc. more closely reflects our Company's participation in the security screening and detection market.</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graph assumes that $100.00 was invested on June 30, 2021 in (a) our common stock, (b) The Nasdaq Composite Index, and (c) the companies comprising the old and new peer group described above (weighted according to the issuer’s stock market capitalization at the beginning of each period for which a return is indicated) . The graph assumes that all dividends were reinvested. Historical stock price performance is not necessarily indicative of future stock price performance.</w:t>
      </w:r>
    </w:p>
    <w:p>
      <w:pPr>
        <w:spacing w:after="0" w:line="19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performance graph shall not be deemed “filed” for purposes of Section 18 of the Exchange Act, or incorporated by reference into any Company filing under the Securities Act of 1933, as amended, or the Exchange Act, except as shall be expressly set forth by specific reference in such filing.</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1347" w:right="540" w:bottom="0" w:gutter="0" w:footer="0" w:header="0"/>
          <w:type w:val="continuous"/>
        </w:sectPr>
      </w:pPr>
    </w:p>
    <w:bookmarkStart w:id="50" w:name="page51"/>
    <w:bookmarkEnd w:id="50"/>
    <w:tbl>
      <w:tblPr>
        <w:tblLayout w:type="fixed"/>
        <w:tblInd w:w="840" w:type="dxa"/>
        <w:tblCellMar>
          <w:top w:w="0" w:type="dxa"/>
          <w:left w:w="0" w:type="dxa"/>
          <w:bottom w:w="0" w:type="dxa"/>
          <w:right w:w="0" w:type="dxa"/>
        </w:tblCellMar>
      </w:tblPr>
      <w:tr>
        <w:trPr>
          <w:trHeight w:val="368"/>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00" w:type="dxa"/>
            <w:vAlign w:val="bottom"/>
            <w:gridSpan w:val="4"/>
          </w:tcPr>
          <w:p>
            <w:pPr>
              <w:ind w:left="580"/>
              <w:spacing w:after="0"/>
              <w:rPr>
                <w:sz w:val="20"/>
                <w:szCs w:val="20"/>
                <w:color w:val="auto"/>
              </w:rPr>
            </w:pPr>
            <w:r>
              <w:rPr>
                <w:rFonts w:ascii="Arial" w:cs="Arial" w:eastAsia="Arial" w:hAnsi="Arial"/>
                <w:sz w:val="32"/>
                <w:szCs w:val="32"/>
                <w:b w:val="1"/>
                <w:bCs w:val="1"/>
                <w:color w:val="auto"/>
                <w:w w:val="75"/>
              </w:rPr>
              <w:t>COMPARISON OF 5 YEAR CUMULATIVE TOTAL RETURN*</w:t>
            </w:r>
          </w:p>
        </w:tc>
        <w:tc>
          <w:tcPr>
            <w:tcW w:w="56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00" w:type="dxa"/>
            <w:vAlign w:val="bottom"/>
            <w:gridSpan w:val="4"/>
          </w:tcPr>
          <w:p>
            <w:pPr>
              <w:jc w:val="center"/>
              <w:spacing w:after="0" w:line="243" w:lineRule="exact"/>
              <w:rPr>
                <w:sz w:val="20"/>
                <w:szCs w:val="20"/>
                <w:color w:val="auto"/>
              </w:rPr>
            </w:pPr>
            <w:r>
              <w:rPr>
                <w:rFonts w:ascii="Arial" w:cs="Arial" w:eastAsia="Arial" w:hAnsi="Arial"/>
                <w:sz w:val="24"/>
                <w:szCs w:val="24"/>
                <w:color w:val="auto"/>
                <w:w w:val="71"/>
              </w:rPr>
              <w:t>Among OSI Systems, Inc., the NASDAQ Composite Index,</w:t>
            </w:r>
          </w:p>
        </w:tc>
        <w:tc>
          <w:tcPr>
            <w:tcW w:w="560" w:type="dxa"/>
            <w:vAlign w:val="bottom"/>
          </w:tcPr>
          <w:p>
            <w:pPr>
              <w:spacing w:after="0"/>
              <w:rPr>
                <w:sz w:val="21"/>
                <w:szCs w:val="21"/>
                <w:color w:val="auto"/>
              </w:rPr>
            </w:pPr>
          </w:p>
        </w:tc>
      </w:tr>
      <w:tr>
        <w:trPr>
          <w:trHeight w:val="266"/>
        </w:trPr>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600" w:type="dxa"/>
            <w:vAlign w:val="bottom"/>
            <w:gridSpan w:val="2"/>
          </w:tcPr>
          <w:p>
            <w:pPr>
              <w:jc w:val="center"/>
              <w:ind w:right="204"/>
              <w:spacing w:after="0" w:line="266" w:lineRule="exact"/>
              <w:rPr>
                <w:sz w:val="20"/>
                <w:szCs w:val="20"/>
                <w:color w:val="auto"/>
              </w:rPr>
            </w:pPr>
            <w:r>
              <w:rPr>
                <w:rFonts w:ascii="Arial" w:cs="Arial" w:eastAsia="Arial" w:hAnsi="Arial"/>
                <w:sz w:val="24"/>
                <w:szCs w:val="24"/>
                <w:color w:val="auto"/>
                <w:w w:val="70"/>
              </w:rPr>
              <w:t>Old Peer Group and New Peer Group</w:t>
            </w:r>
          </w:p>
        </w:tc>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383"/>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73"/>
              </w:rPr>
              <w:t>$250</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98"/>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73"/>
              </w:rPr>
              <w:t>$200</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98"/>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73"/>
              </w:rPr>
              <w:t>$150</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98"/>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73"/>
              </w:rPr>
              <w:t>$100</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98"/>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97"/>
              </w:rPr>
              <w:t>$50</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53"/>
        </w:trPr>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$0</w:t>
            </w:r>
          </w:p>
        </w:tc>
        <w:tc>
          <w:tcPr>
            <w:tcW w:w="1000" w:type="dxa"/>
            <w:vAlign w:val="bottom"/>
          </w:tcPr>
          <w:p>
            <w:pPr>
              <w:jc w:val="right"/>
              <w:ind w:right="468"/>
              <w:spacing w:after="0"/>
              <w:rPr>
                <w:sz w:val="20"/>
                <w:szCs w:val="20"/>
                <w:color w:val="auto"/>
              </w:rPr>
            </w:pPr>
            <w:r>
              <w:rPr>
                <w:rFonts w:ascii="Arial" w:cs="Arial" w:eastAsia="Arial" w:hAnsi="Arial"/>
                <w:sz w:val="22"/>
                <w:szCs w:val="22"/>
                <w:b w:val="1"/>
                <w:bCs w:val="1"/>
                <w:color w:val="auto"/>
                <w:w w:val="93"/>
              </w:rPr>
              <w:t>6/21</w:t>
            </w:r>
          </w:p>
        </w:tc>
        <w:tc>
          <w:tcPr>
            <w:tcW w:w="2000" w:type="dxa"/>
            <w:vAlign w:val="bottom"/>
          </w:tcPr>
          <w:p>
            <w:pPr>
              <w:jc w:val="right"/>
              <w:ind w:right="752"/>
              <w:spacing w:after="0"/>
              <w:rPr>
                <w:sz w:val="20"/>
                <w:szCs w:val="20"/>
                <w:color w:val="auto"/>
              </w:rPr>
            </w:pPr>
            <w:r>
              <w:rPr>
                <w:rFonts w:ascii="Arial" w:cs="Arial" w:eastAsia="Arial" w:hAnsi="Arial"/>
                <w:sz w:val="22"/>
                <w:szCs w:val="22"/>
                <w:b w:val="1"/>
                <w:bCs w:val="1"/>
                <w:color w:val="auto"/>
              </w:rPr>
              <w:t>6/22</w:t>
            </w:r>
          </w:p>
        </w:tc>
        <w:tc>
          <w:tcPr>
            <w:tcW w:w="1940" w:type="dxa"/>
            <w:vAlign w:val="bottom"/>
          </w:tcPr>
          <w:p>
            <w:pPr>
              <w:jc w:val="right"/>
              <w:ind w:right="1024"/>
              <w:spacing w:after="0"/>
              <w:rPr>
                <w:sz w:val="20"/>
                <w:szCs w:val="20"/>
                <w:color w:val="auto"/>
              </w:rPr>
            </w:pPr>
            <w:r>
              <w:rPr>
                <w:rFonts w:ascii="Arial" w:cs="Arial" w:eastAsia="Arial" w:hAnsi="Arial"/>
                <w:sz w:val="22"/>
                <w:szCs w:val="22"/>
                <w:b w:val="1"/>
                <w:bCs w:val="1"/>
                <w:color w:val="auto"/>
              </w:rPr>
              <w:t>6/23</w:t>
            </w:r>
          </w:p>
        </w:tc>
        <w:tc>
          <w:tcPr>
            <w:tcW w:w="1660" w:type="dxa"/>
            <w:vAlign w:val="bottom"/>
          </w:tcPr>
          <w:p>
            <w:pPr>
              <w:jc w:val="right"/>
              <w:ind w:right="1004"/>
              <w:spacing w:after="0"/>
              <w:rPr>
                <w:sz w:val="20"/>
                <w:szCs w:val="20"/>
                <w:color w:val="auto"/>
              </w:rPr>
            </w:pPr>
            <w:r>
              <w:rPr>
                <w:rFonts w:ascii="Arial" w:cs="Arial" w:eastAsia="Arial" w:hAnsi="Arial"/>
                <w:sz w:val="22"/>
                <w:szCs w:val="22"/>
                <w:b w:val="1"/>
                <w:bCs w:val="1"/>
                <w:color w:val="auto"/>
              </w:rPr>
              <w:t>6/24</w:t>
            </w:r>
          </w:p>
        </w:tc>
        <w:tc>
          <w:tcPr>
            <w:tcW w:w="1700" w:type="dxa"/>
            <w:vAlign w:val="bottom"/>
          </w:tcPr>
          <w:p>
            <w:pPr>
              <w:jc w:val="right"/>
              <w:ind w:right="1024"/>
              <w:spacing w:after="0"/>
              <w:rPr>
                <w:sz w:val="20"/>
                <w:szCs w:val="20"/>
                <w:color w:val="auto"/>
              </w:rPr>
            </w:pPr>
            <w:r>
              <w:rPr>
                <w:rFonts w:ascii="Arial" w:cs="Arial" w:eastAsia="Arial" w:hAnsi="Arial"/>
                <w:sz w:val="22"/>
                <w:szCs w:val="22"/>
                <w:b w:val="1"/>
                <w:bCs w:val="1"/>
                <w:color w:val="auto"/>
              </w:rPr>
              <w:t>6/25</w:t>
            </w:r>
          </w:p>
        </w:tc>
        <w:tc>
          <w:tcPr>
            <w:tcW w:w="560" w:type="dxa"/>
            <w:vAlign w:val="bottom"/>
          </w:tcPr>
          <w:p>
            <w:pPr>
              <w:jc w:val="right"/>
              <w:spacing w:after="0"/>
              <w:rPr>
                <w:sz w:val="20"/>
                <w:szCs w:val="20"/>
                <w:color w:val="auto"/>
              </w:rPr>
            </w:pPr>
            <w:r>
              <w:rPr>
                <w:rFonts w:ascii="Arial" w:cs="Arial" w:eastAsia="Arial" w:hAnsi="Arial"/>
                <w:sz w:val="22"/>
                <w:szCs w:val="22"/>
                <w:b w:val="1"/>
                <w:bCs w:val="1"/>
                <w:color w:val="auto"/>
              </w:rPr>
              <w:t>6/26</w:t>
            </w:r>
          </w:p>
        </w:tc>
      </w:tr>
      <w:tr>
        <w:trPr>
          <w:trHeight w:val="370"/>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ind w:left="560"/>
              <w:spacing w:after="0"/>
              <w:rPr>
                <w:sz w:val="20"/>
                <w:szCs w:val="20"/>
                <w:color w:val="auto"/>
              </w:rPr>
            </w:pPr>
            <w:r>
              <w:rPr>
                <w:rFonts w:ascii="Arial" w:cs="Arial" w:eastAsia="Arial" w:hAnsi="Arial"/>
                <w:sz w:val="24"/>
                <w:szCs w:val="24"/>
                <w:color w:val="auto"/>
                <w:w w:val="73"/>
              </w:rPr>
              <w:t>OSI Systems, Inc.</w:t>
            </w:r>
          </w:p>
        </w:tc>
        <w:tc>
          <w:tcPr>
            <w:tcW w:w="1940" w:type="dxa"/>
            <w:vAlign w:val="bottom"/>
          </w:tcPr>
          <w:p>
            <w:pPr>
              <w:jc w:val="right"/>
              <w:ind w:right="64"/>
              <w:spacing w:after="0"/>
              <w:rPr>
                <w:sz w:val="20"/>
                <w:szCs w:val="20"/>
                <w:color w:val="auto"/>
              </w:rPr>
            </w:pPr>
            <w:r>
              <w:rPr>
                <w:rFonts w:ascii="Arial" w:cs="Arial" w:eastAsia="Arial" w:hAnsi="Arial"/>
                <w:sz w:val="24"/>
                <w:szCs w:val="24"/>
                <w:color w:val="auto"/>
                <w:w w:val="78"/>
              </w:rPr>
              <w:t>NASDAQ Composite</w:t>
            </w:r>
          </w:p>
        </w:tc>
        <w:tc>
          <w:tcPr>
            <w:tcW w:w="1660" w:type="dxa"/>
            <w:vAlign w:val="bottom"/>
          </w:tcPr>
          <w:p>
            <w:pPr>
              <w:jc w:val="right"/>
              <w:ind w:right="104"/>
              <w:spacing w:after="0"/>
              <w:rPr>
                <w:sz w:val="20"/>
                <w:szCs w:val="20"/>
                <w:color w:val="auto"/>
              </w:rPr>
            </w:pPr>
            <w:r>
              <w:rPr>
                <w:rFonts w:ascii="Arial" w:cs="Arial" w:eastAsia="Arial" w:hAnsi="Arial"/>
                <w:sz w:val="24"/>
                <w:szCs w:val="24"/>
                <w:color w:val="auto"/>
                <w:w w:val="84"/>
              </w:rPr>
              <w:t>Old Peer Group</w:t>
            </w:r>
          </w:p>
        </w:tc>
        <w:tc>
          <w:tcPr>
            <w:tcW w:w="1700" w:type="dxa"/>
            <w:vAlign w:val="bottom"/>
          </w:tcPr>
          <w:p>
            <w:pPr>
              <w:jc w:val="right"/>
              <w:ind w:right="104"/>
              <w:spacing w:after="0"/>
              <w:rPr>
                <w:sz w:val="20"/>
                <w:szCs w:val="20"/>
                <w:color w:val="auto"/>
              </w:rPr>
            </w:pPr>
            <w:r>
              <w:rPr>
                <w:rFonts w:ascii="Arial" w:cs="Arial" w:eastAsia="Arial" w:hAnsi="Arial"/>
                <w:sz w:val="24"/>
                <w:szCs w:val="24"/>
                <w:color w:val="auto"/>
                <w:w w:val="81"/>
              </w:rPr>
              <w:t>New Peer Group</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880745</wp:posOffset>
                </wp:positionH>
                <wp:positionV relativeFrom="paragraph">
                  <wp:posOffset>-404495</wp:posOffset>
                </wp:positionV>
                <wp:extent cx="0" cy="247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35pt,-31.8499pt" to="69.3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880745</wp:posOffset>
                </wp:positionH>
                <wp:positionV relativeFrom="paragraph">
                  <wp:posOffset>-404495</wp:posOffset>
                </wp:positionV>
                <wp:extent cx="0" cy="2476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35pt,-31.8499pt" to="69.3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1951355</wp:posOffset>
                </wp:positionH>
                <wp:positionV relativeFrom="paragraph">
                  <wp:posOffset>-404495</wp:posOffset>
                </wp:positionV>
                <wp:extent cx="0" cy="247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65pt,-31.8499pt" to="153.6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1951355</wp:posOffset>
                </wp:positionH>
                <wp:positionV relativeFrom="paragraph">
                  <wp:posOffset>-404495</wp:posOffset>
                </wp:positionV>
                <wp:extent cx="0" cy="247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65pt,-31.8499pt" to="153.6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3021965</wp:posOffset>
                </wp:positionH>
                <wp:positionV relativeFrom="paragraph">
                  <wp:posOffset>-404495</wp:posOffset>
                </wp:positionV>
                <wp:extent cx="0" cy="247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95pt,-31.8499pt" to="237.9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3021965</wp:posOffset>
                </wp:positionH>
                <wp:positionV relativeFrom="paragraph">
                  <wp:posOffset>-404495</wp:posOffset>
                </wp:positionV>
                <wp:extent cx="0" cy="2476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95pt,-31.8499pt" to="237.9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4092575</wp:posOffset>
                </wp:positionH>
                <wp:positionV relativeFrom="paragraph">
                  <wp:posOffset>-404495</wp:posOffset>
                </wp:positionV>
                <wp:extent cx="0" cy="2476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25pt,-31.8499pt" to="322.2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4092575</wp:posOffset>
                </wp:positionH>
                <wp:positionV relativeFrom="paragraph">
                  <wp:posOffset>-404495</wp:posOffset>
                </wp:positionV>
                <wp:extent cx="0" cy="247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25pt,-31.8499pt" to="322.2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5163185</wp:posOffset>
                </wp:positionH>
                <wp:positionV relativeFrom="paragraph">
                  <wp:posOffset>-404495</wp:posOffset>
                </wp:positionV>
                <wp:extent cx="0" cy="2476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55pt,-31.8499pt" to="406.5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5163185</wp:posOffset>
                </wp:positionH>
                <wp:positionV relativeFrom="paragraph">
                  <wp:posOffset>-404495</wp:posOffset>
                </wp:positionV>
                <wp:extent cx="0" cy="2476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55pt,-31.8499pt" to="406.5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6233795</wp:posOffset>
                </wp:positionH>
                <wp:positionV relativeFrom="paragraph">
                  <wp:posOffset>-404495</wp:posOffset>
                </wp:positionV>
                <wp:extent cx="0" cy="2476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0">
                          <a:solidFill>
                            <a:srgbClr val="737373"/>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0.85pt,-31.8499pt" to="490.85pt,-29.8999pt" o:allowincell="f" strokecolor="#737373" strokeweight="0pt"/>
            </w:pict>
          </mc:Fallback>
        </mc:AlternateContent>
        <mc:AlternateContent>
          <mc:Choice Requires="wps">
            <w:drawing>
              <wp:anchor simplePos="0" relativeHeight="251657728" behindDoc="1" locked="0" layoutInCell="0" allowOverlap="1">
                <wp:simplePos x="0" y="0"/>
                <wp:positionH relativeFrom="column">
                  <wp:posOffset>6233795</wp:posOffset>
                </wp:positionH>
                <wp:positionV relativeFrom="paragraph">
                  <wp:posOffset>-404495</wp:posOffset>
                </wp:positionV>
                <wp:extent cx="0" cy="2476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5970">
                          <a:solidFill>
                            <a:srgbClr val="737373"/>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0.85pt,-31.8499pt" to="490.85pt,-29.89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727710</wp:posOffset>
                </wp:positionH>
                <wp:positionV relativeFrom="paragraph">
                  <wp:posOffset>-404495</wp:posOffset>
                </wp:positionV>
                <wp:extent cx="247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 cy="4763"/>
                        </a:xfrm>
                        <a:prstGeom prst="line">
                          <a:avLst/>
                        </a:prstGeom>
                        <a:solidFill>
                          <a:srgbClr val="FFFFFF"/>
                        </a:solidFill>
                        <a:ln w="5970">
                          <a:solidFill>
                            <a:srgbClr val="737373"/>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pt,-31.8499pt" to="59.25pt,-31.8499pt" o:allowincell="f" strokecolor="#737373" strokeweight="0.4701pt"/>
            </w:pict>
          </mc:Fallback>
        </mc:AlternateContent>
        <mc:AlternateContent>
          <mc:Choice Requires="wps">
            <w:drawing>
              <wp:anchor simplePos="0" relativeHeight="251657728" behindDoc="1" locked="0" layoutInCell="0" allowOverlap="1">
                <wp:simplePos x="0" y="0"/>
                <wp:positionH relativeFrom="column">
                  <wp:posOffset>727710</wp:posOffset>
                </wp:positionH>
                <wp:positionV relativeFrom="paragraph">
                  <wp:posOffset>-911225</wp:posOffset>
                </wp:positionV>
                <wp:extent cx="247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 cy="4763"/>
                        </a:xfrm>
                        <a:prstGeom prst="line">
                          <a:avLst/>
                        </a:prstGeom>
                        <a:solidFill>
                          <a:srgbClr val="FFFFFF"/>
                        </a:solidFill>
                        <a:ln w="5970">
                          <a:solidFill>
                            <a:srgbClr val="737373"/>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pt,-71.7499pt" to="59.25pt,-71.7499pt" o:allowincell="f" strokecolor="#737373" strokeweight="0.4701pt"/>
            </w:pict>
          </mc:Fallback>
        </mc:AlternateContent>
        <w:drawing>
          <wp:anchor simplePos="0" relativeHeight="251657728" behindDoc="1" locked="0" layoutInCell="0" allowOverlap="1">
            <wp:simplePos x="0" y="0"/>
            <wp:positionH relativeFrom="column">
              <wp:posOffset>727710</wp:posOffset>
            </wp:positionH>
            <wp:positionV relativeFrom="paragraph">
              <wp:posOffset>-2940685</wp:posOffset>
            </wp:positionV>
            <wp:extent cx="5699125" cy="2540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8">
                      <a:extLst>
                        <a:ext uri="{28A0092B-C50C-407E-A947-70E740481C1C}"/>
                      </a:extLst>
                    </a:blip>
                    <a:srcRect/>
                    <a:stretch>
                      <a:fillRect/>
                    </a:stretch>
                  </pic:blipFill>
                  <pic:spPr bwMode="auto">
                    <a:xfrm>
                      <a:off x="0" y="0"/>
                      <a:ext cx="5699125" cy="2540000"/>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-114935</wp:posOffset>
            </wp:positionV>
            <wp:extent cx="196850" cy="85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9">
                      <a:extLst>
                        <a:ext uri="{28A0092B-C50C-407E-A947-70E740481C1C}"/>
                      </a:extLst>
                    </a:blip>
                    <a:srcRect/>
                    <a:stretch>
                      <a:fillRect/>
                    </a:stretch>
                  </pic:blipFill>
                  <pic:spPr bwMode="auto">
                    <a:xfrm>
                      <a:off x="0" y="0"/>
                      <a:ext cx="196850" cy="850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-114935</wp:posOffset>
            </wp:positionV>
            <wp:extent cx="247015" cy="85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a:extLst>
                        <a:ext uri="{28A0092B-C50C-407E-A947-70E740481C1C}"/>
                      </a:extLst>
                    </a:blip>
                    <a:srcRect/>
                    <a:stretch>
                      <a:fillRect/>
                    </a:stretch>
                  </pic:blipFill>
                  <pic:spPr bwMode="auto">
                    <a:xfrm>
                      <a:off x="0" y="0"/>
                      <a:ext cx="247015" cy="850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-114935</wp:posOffset>
            </wp:positionV>
            <wp:extent cx="247015" cy="85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1">
                      <a:extLst>
                        <a:ext uri="{28A0092B-C50C-407E-A947-70E740481C1C}"/>
                      </a:extLst>
                    </a:blip>
                    <a:srcRect/>
                    <a:stretch>
                      <a:fillRect/>
                    </a:stretch>
                  </pic:blipFill>
                  <pic:spPr bwMode="auto">
                    <a:xfrm>
                      <a:off x="0" y="0"/>
                      <a:ext cx="247015" cy="850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-114935</wp:posOffset>
            </wp:positionV>
            <wp:extent cx="196850" cy="85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2">
                      <a:extLst>
                        <a:ext uri="{28A0092B-C50C-407E-A947-70E740481C1C}"/>
                      </a:extLst>
                    </a:blip>
                    <a:srcRect/>
                    <a:stretch>
                      <a:fillRect/>
                    </a:stretch>
                  </pic:blipFill>
                  <pic:spPr bwMode="auto">
                    <a:xfrm>
                      <a:off x="0" y="0"/>
                      <a:ext cx="196850" cy="850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Arial" w:cs="Arial" w:eastAsia="Arial" w:hAnsi="Arial"/>
          <w:sz w:val="23"/>
          <w:szCs w:val="23"/>
          <w:color w:val="auto"/>
        </w:rPr>
        <w:t>*$100 invested on 6/30/21 in stock or index, including reinvestment of dividends.</w:t>
      </w:r>
    </w:p>
    <w:p>
      <w:pPr>
        <w:ind w:left="1320"/>
        <w:spacing w:after="0" w:line="204" w:lineRule="auto"/>
        <w:rPr>
          <w:sz w:val="20"/>
          <w:szCs w:val="20"/>
          <w:color w:val="auto"/>
        </w:rPr>
      </w:pPr>
      <w:r>
        <w:rPr>
          <w:rFonts w:ascii="Arial" w:cs="Arial" w:eastAsia="Arial" w:hAnsi="Arial"/>
          <w:sz w:val="23"/>
          <w:szCs w:val="23"/>
          <w:color w:val="auto"/>
        </w:rPr>
        <w:t>Fiscal year ending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the same information in tabular form as of June 30: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40" w:type="dxa"/>
            <w:vAlign w:val="bottom"/>
            <w:tcBorders>
              <w:bottom w:val="single" w:sz="8" w:color="E6E6E6"/>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bottom w:val="single" w:sz="8" w:color="E6E6E6"/>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80" w:type="dxa"/>
            <w:vAlign w:val="bottom"/>
            <w:tcBorders>
              <w:bottom w:val="single" w:sz="8" w:color="E6E6E6"/>
            </w:tcBorders>
          </w:tcPr>
          <w:p>
            <w:pPr>
              <w:spacing w:after="0"/>
              <w:rPr>
                <w:sz w:val="17"/>
                <w:szCs w:val="17"/>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E6E6E6"/>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Borders>
              <w:bottom w:val="single" w:sz="8" w:color="E6E6E6"/>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6E6E6"/>
            </w:tcBorders>
          </w:tcPr>
          <w:p>
            <w:pPr>
              <w:spacing w:after="0"/>
              <w:rPr>
                <w:sz w:val="17"/>
                <w:szCs w:val="17"/>
                <w:color w:val="auto"/>
              </w:rPr>
            </w:pP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60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OSI Systems, Inc</w:t>
            </w:r>
          </w:p>
        </w:tc>
        <w:tc>
          <w:tcPr>
            <w:tcW w:w="660" w:type="dxa"/>
            <w:vAlign w:val="bottom"/>
            <w:shd w:val="clear" w:color="auto" w:fill="E6E6E6"/>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100.00</w:t>
            </w:r>
          </w:p>
        </w:tc>
        <w:tc>
          <w:tcPr>
            <w:tcW w:w="780" w:type="dxa"/>
            <w:vAlign w:val="bottom"/>
            <w:gridSpan w:val="2"/>
            <w:shd w:val="clear" w:color="auto" w:fill="E6E6E6"/>
          </w:tcPr>
          <w:p>
            <w:pPr>
              <w:jc w:val="center"/>
              <w:ind w:left="120"/>
              <w:spacing w:after="0" w:line="220" w:lineRule="exact"/>
              <w:rPr>
                <w:sz w:val="20"/>
                <w:szCs w:val="20"/>
                <w:color w:val="auto"/>
              </w:rPr>
            </w:pPr>
            <w:r>
              <w:rPr>
                <w:rFonts w:ascii="Times New Roman" w:cs="Times New Roman" w:eastAsia="Times New Roman" w:hAnsi="Times New Roman"/>
                <w:sz w:val="20"/>
                <w:szCs w:val="20"/>
                <w:color w:val="auto"/>
                <w:w w:val="97"/>
              </w:rPr>
              <w:t>84.06</w:t>
            </w:r>
          </w:p>
        </w:tc>
        <w:tc>
          <w:tcPr>
            <w:tcW w:w="84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115.93</w:t>
            </w:r>
          </w:p>
        </w:tc>
        <w:tc>
          <w:tcPr>
            <w:tcW w:w="820" w:type="dxa"/>
            <w:vAlign w:val="bottom"/>
            <w:gridSpan w:val="2"/>
            <w:shd w:val="clear" w:color="auto" w:fill="E6E6E6"/>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8"/>
              </w:rPr>
              <w:t>135.30</w:t>
            </w:r>
          </w:p>
        </w:tc>
        <w:tc>
          <w:tcPr>
            <w:tcW w:w="840" w:type="dxa"/>
            <w:vAlign w:val="bottom"/>
            <w:gridSpan w:val="2"/>
            <w:shd w:val="clear" w:color="auto" w:fill="E6E6E6"/>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rPr>
              <w:t>221.23</w:t>
            </w:r>
          </w:p>
        </w:tc>
        <w:tc>
          <w:tcPr>
            <w:tcW w:w="82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215.17</w:t>
            </w: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The Nasdaq Composite Index</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100.00</w:t>
            </w:r>
          </w:p>
        </w:tc>
        <w:tc>
          <w:tcPr>
            <w:tcW w:w="7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76.57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96.59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125.19</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144.81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187.50</w:t>
            </w:r>
          </w:p>
        </w:tc>
      </w:tr>
      <w:tr>
        <w:trPr>
          <w:trHeight w:val="230"/>
        </w:trPr>
        <w:tc>
          <w:tcPr>
            <w:tcW w:w="60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Old Peer Group</w:t>
            </w:r>
          </w:p>
        </w:tc>
        <w:tc>
          <w:tcPr>
            <w:tcW w:w="6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780" w:type="dxa"/>
            <w:vAlign w:val="bottom"/>
            <w:gridSpan w:val="2"/>
            <w:shd w:val="clear" w:color="auto" w:fill="E6E6E6"/>
          </w:tcPr>
          <w:p>
            <w:pPr>
              <w:jc w:val="center"/>
              <w:ind w:left="120"/>
              <w:spacing w:after="0"/>
              <w:rPr>
                <w:sz w:val="20"/>
                <w:szCs w:val="20"/>
                <w:color w:val="auto"/>
              </w:rPr>
            </w:pPr>
            <w:r>
              <w:rPr>
                <w:rFonts w:ascii="Times New Roman" w:cs="Times New Roman" w:eastAsia="Times New Roman" w:hAnsi="Times New Roman"/>
                <w:sz w:val="20"/>
                <w:szCs w:val="20"/>
                <w:color w:val="auto"/>
                <w:w w:val="97"/>
              </w:rPr>
              <w:t>88.22</w:t>
            </w:r>
          </w:p>
        </w:tc>
        <w:tc>
          <w:tcPr>
            <w:tcW w:w="8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103.14</w:t>
            </w:r>
          </w:p>
        </w:tc>
        <w:tc>
          <w:tcPr>
            <w:tcW w:w="820" w:type="dxa"/>
            <w:vAlign w:val="bottom"/>
            <w:gridSpan w:val="2"/>
            <w:shd w:val="clear" w:color="auto" w:fill="E6E6E6"/>
          </w:tcPr>
          <w:p>
            <w:pPr>
              <w:jc w:val="center"/>
              <w:ind w:left="60"/>
              <w:spacing w:after="0"/>
              <w:rPr>
                <w:sz w:val="20"/>
                <w:szCs w:val="20"/>
                <w:color w:val="auto"/>
              </w:rPr>
            </w:pPr>
            <w:r>
              <w:rPr>
                <w:rFonts w:ascii="Times New Roman" w:cs="Times New Roman" w:eastAsia="Times New Roman" w:hAnsi="Times New Roman"/>
                <w:sz w:val="20"/>
                <w:szCs w:val="20"/>
                <w:color w:val="auto"/>
                <w:w w:val="98"/>
              </w:rPr>
              <w:t>107.95</w:t>
            </w:r>
          </w:p>
        </w:tc>
        <w:tc>
          <w:tcPr>
            <w:tcW w:w="840" w:type="dxa"/>
            <w:vAlign w:val="bottom"/>
            <w:gridSpan w:val="2"/>
            <w:shd w:val="clear" w:color="auto" w:fill="E6E6E6"/>
          </w:tcPr>
          <w:p>
            <w:pPr>
              <w:jc w:val="center"/>
              <w:ind w:left="60"/>
              <w:spacing w:after="0"/>
              <w:rPr>
                <w:sz w:val="20"/>
                <w:szCs w:val="20"/>
                <w:color w:val="auto"/>
              </w:rPr>
            </w:pPr>
            <w:r>
              <w:rPr>
                <w:rFonts w:ascii="Times New Roman" w:cs="Times New Roman" w:eastAsia="Times New Roman" w:hAnsi="Times New Roman"/>
                <w:sz w:val="20"/>
                <w:szCs w:val="20"/>
                <w:color w:val="auto"/>
              </w:rPr>
              <w:t>141.25</w:t>
            </w:r>
          </w:p>
        </w:tc>
        <w:tc>
          <w:tcPr>
            <w:tcW w:w="8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159.08</w:t>
            </w:r>
          </w:p>
        </w:tc>
      </w:tr>
      <w:tr>
        <w:trPr>
          <w:trHeight w:val="267"/>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New Peer Group</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7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93.56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94.74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125.58</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136.30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52" w:lineRule="exact"/>
        <w:rPr>
          <w:sz w:val="20"/>
          <w:szCs w:val="20"/>
          <w:color w:val="auto"/>
        </w:rPr>
      </w:pPr>
    </w:p>
    <w:p>
      <w:pPr>
        <w:ind w:right="100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5"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intended to help the reader understand our results of operations and financial condition. MD&amp;A is provided as a supplement to, and should be read in conjunction with, our financial statements and the accompanying notes. This MD&amp;A contains forward-looking statements and the matters discussed in these forward-looking statements are subject to risks, uncertainties, and other factors that could cause actual results to differ materially from those projected or implied in the forward-looking statements. Please see “Risk Factors” and “Forward-Looking Statements” for a discussion of the uncertainties, risks and assumptions associated with these statements.</w:t>
      </w:r>
    </w:p>
    <w:p>
      <w:pPr>
        <w:sectPr>
          <w:pgSz w:w="11880" w:h="15480" w:orient="portrait"/>
          <w:cols w:equalWidth="0" w:num="1">
            <w:col w:w="10800"/>
          </w:cols>
          <w:pgMar w:left="540" w:top="115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1154" w:right="5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each of which is a reportable segment: (a) Security, providing security and inspection systems, high-power RF systems and turnkey security screening solutions; (b) Optoelectronics and Manufacturing, providing specialized electronic components and electronic manufacturing services for applications in the defense and aerospace markets, among others, and for our Security and Healthcare divisions; and (c) Healthcare, providing patient monitoring, cardiology and remote monitoring, and connected care systems and associated accessories.</w:t>
      </w:r>
    </w:p>
    <w:p>
      <w:pPr>
        <w:spacing w:after="0" w:line="20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Division. </w:t>
      </w:r>
      <w:r>
        <w:rPr>
          <w:rFonts w:ascii="Times New Roman" w:cs="Times New Roman" w:eastAsia="Times New Roman" w:hAnsi="Times New Roman"/>
          <w:sz w:val="20"/>
          <w:szCs w:val="20"/>
          <w:color w:val="auto"/>
        </w:rPr>
        <w:t>Through our Security division, we provide security screening products, multi-platform software solutions,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services globally, as well as turnkey security screening solutions. These products and services are used to inspect baggage, parcels, cargo, people, vehicles and other objects for weapons, explosives, drugs, radioactive and nuclear materials and other contraband. We also provide high-power RF systems for transmission, surveillance and other applications for defense, research and industrial use. Revenues from our Security division accounted for 70% of our total consolidated revenues for fiscal 2026.</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Optoelectronics and Manufacturing Division. </w:t>
      </w:r>
      <w:r>
        <w:rPr>
          <w:rFonts w:ascii="Times New Roman" w:cs="Times New Roman" w:eastAsia="Times New Roman" w:hAnsi="Times New Roman"/>
          <w:sz w:val="20"/>
          <w:szCs w:val="20"/>
          <w:color w:val="auto"/>
        </w:rPr>
        <w:t>Through our Optoelectronics and Manufacturing division, we design,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our own Security and Healthcare divisions. Revenues from external customers in our Optoelectronics and Manufacturing division accounted for 21% of our total consolidated revenues for fiscal 2026.</w:t>
      </w:r>
    </w:p>
    <w:p>
      <w:pPr>
        <w:spacing w:after="0" w:line="19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Healthcare Division. </w:t>
      </w:r>
      <w:r>
        <w:rPr>
          <w:rFonts w:ascii="Times New Roman" w:cs="Times New Roman" w:eastAsia="Times New Roman" w:hAnsi="Times New Roman"/>
          <w:sz w:val="20"/>
          <w:szCs w:val="20"/>
          <w:color w:val="auto"/>
        </w:rPr>
        <w:t>Through our Healthcare division, we design, manufacture, market and service patient monitoring,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cardiology and remote 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9% of our total consolidated revenues for fiscal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Results</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Discussion and analysis of our financial condition and results of operations for fiscal 2024 (compared with fiscal 2025) have been omitted from this Annual Report on Form 10-K, and is available in Item 7 of Part II, “Management’s Discussion and Analysis of Financial Condition and Results of Operations” of our Annual Report on Form 10-K for the year ended June 30, 2025.</w:t>
      </w:r>
    </w:p>
    <w:p>
      <w:pPr>
        <w:spacing w:after="0" w:line="186"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Fiscal 2026 Compared with Fiscal 2025. </w:t>
      </w:r>
      <w:r>
        <w:rPr>
          <w:rFonts w:ascii="Times New Roman" w:cs="Times New Roman" w:eastAsia="Times New Roman" w:hAnsi="Times New Roman"/>
          <w:sz w:val="19"/>
          <w:szCs w:val="19"/>
          <w:color w:val="auto"/>
        </w:rPr>
        <w:t>Fiscal 2026 was highlighted by continued revenue and earnings growth, and strong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operating cash flow generation. Revenues increased to approximately $1.8 billion, driven by our Security and Optoelectronics divisions, partially offset by lower Healthcare division revenues. Cash generated from operating activities increased significantly to approximately $275.9 million, driven largely by improved working capital, including collections on large Security projects, and higher net income.</w:t>
      </w:r>
    </w:p>
    <w:p>
      <w:pPr>
        <w:spacing w:after="0" w:line="17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Acquisitions. </w:t>
      </w:r>
      <w:r>
        <w:rPr>
          <w:rFonts w:ascii="Times New Roman" w:cs="Times New Roman" w:eastAsia="Times New Roman" w:hAnsi="Times New Roman"/>
          <w:sz w:val="20"/>
          <w:szCs w:val="20"/>
          <w:color w:val="auto"/>
        </w:rPr>
        <w:t>We acquired one business in fiscal 2026 and two businesses in fiscal 2025, as described in Note 2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Financial Statements. None of these acquisitions were considered significant.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800"/>
          </w:cols>
          <w:pgMar w:left="540" w:top="1347" w:right="54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Trends and Uncertainties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following is a discussion of certain trends and uncertainties that we believe have influenced, and may continue to influence, our results of operations.</w:t>
      </w:r>
    </w:p>
    <w:p>
      <w:pPr>
        <w:spacing w:after="0" w:line="16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Economic Considerations. </w:t>
      </w:r>
      <w:r>
        <w:rPr>
          <w:rFonts w:ascii="Times New Roman" w:cs="Times New Roman" w:eastAsia="Times New Roman" w:hAnsi="Times New Roman"/>
          <w:sz w:val="20"/>
          <w:szCs w:val="20"/>
          <w:color w:val="auto"/>
        </w:rPr>
        <w:t>Our products and services are sold in numerous countries worldwide, with a large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percentage of our sales 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interest rate policies, and labor shortages. Increasing diplomatic and trade friction between the U.S. and China has also created significant uncertainty in the global economy. These global macroeconomic factors, coupled with political unrest internationally and the volatile U.S. political climate, have created uncertainty and impacted demand for certain of our products and services. Conflicts in Iran, Gaza and nearby regions have created political and economic uncertainty in the Middle East. Also, the continued conflict between Russia and Ukraine and the sanctions imposed in response to this conflict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spacing w:after="0" w:line="206"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Trade. </w:t>
      </w:r>
      <w:r>
        <w:rPr>
          <w:rFonts w:ascii="Times New Roman" w:cs="Times New Roman" w:eastAsia="Times New Roman" w:hAnsi="Times New Roman"/>
          <w:sz w:val="20"/>
          <w:szCs w:val="20"/>
          <w:color w:val="auto"/>
        </w:rPr>
        <w:t>The current domestic and international political environment, including in relation to recent and further potential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changes by the U.S. 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other countries. Tariffs, trade restrictions and retaliatory measures by such other countries could result in revenue reductions for the Company or cost increases on material used in our products, which could materially and adversely affect our business, financial condition, results of operations and cash flows. Consistent with our strategy, we are taking measures to contain costs to reduce the impact of tariffs. To date, our strategies have helped minimize our exposure to these conditions. Continued or increased uncertainty regarding global trade due to these or other factors may require us to modify our current business practices and could have a material adverse effect on our business, results of operations and financial condition.</w:t>
      </w:r>
    </w:p>
    <w:p>
      <w:pPr>
        <w:spacing w:after="0" w:line="16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Supply and Demand for Memory and Semiconductor Components. </w:t>
      </w:r>
      <w:r>
        <w:rPr>
          <w:rFonts w:ascii="Times New Roman" w:cs="Times New Roman" w:eastAsia="Times New Roman" w:hAnsi="Times New Roman"/>
          <w:sz w:val="20"/>
          <w:szCs w:val="20"/>
          <w:color w:val="auto"/>
        </w:rPr>
        <w:t>We have experienced tighter supply conditions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costs for certain memory associated and semiconductor components, reflecting a broader global imbalance between supply and demand for memory used in data center and AI related infrastructure. While we have taken actions to mitigate these impacts, continued constraints in component availability could adversely affect our business.</w:t>
      </w:r>
    </w:p>
    <w:p>
      <w:pPr>
        <w:spacing w:after="0" w:line="154"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Geopolitical Environment. </w:t>
      </w:r>
      <w:r>
        <w:rPr>
          <w:rFonts w:ascii="Times New Roman" w:cs="Times New Roman" w:eastAsia="Times New Roman" w:hAnsi="Times New Roman"/>
          <w:sz w:val="20"/>
          <w:szCs w:val="20"/>
          <w:color w:val="auto"/>
        </w:rPr>
        <w:t>The global security environment remains subject to significant uncertainty due to ongoing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geopolitical tensions, military conflicts, terrorist threats, and regional instability, including recent hostilities in the Middle East. Governments, transportation authorities, border protection agencies, and critical infrastructure operators continue to assess evolving security risks and may increase investments in security screening, inspection, and detection technologies. As a result, demand for certain of our security inspection products and related services could be affected by changes in government spending priorities and security requirements. At the same time, geopolitical events may influence the timing and execution of customer procurement decisions, funding approvals, contract awards, and project implementations. The extent to which current or future conflicts may affect our business will depend on the duration, geographic scope, and economic consequences of such events, as well as governmental responses that remain difficult to predict.</w:t>
      </w:r>
    </w:p>
    <w:p>
      <w:pPr>
        <w:spacing w:after="0" w:line="165"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Conflicts in the Middle East. </w:t>
      </w:r>
      <w:r>
        <w:rPr>
          <w:rFonts w:ascii="Times New Roman" w:cs="Times New Roman" w:eastAsia="Times New Roman" w:hAnsi="Times New Roman"/>
          <w:sz w:val="20"/>
          <w:szCs w:val="20"/>
          <w:color w:val="auto"/>
        </w:rPr>
        <w:t>We generate a significant portion of our revenues from international markets and maintain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global supply chain supporting the design, manufacture, and servicing of our products. Escalation of geopolitical conflicts, including military activity in the Middle East, could disrupt transportation routes, logistics networks, supplier operations, and international trade flows. Such disruptions may result in shipment delays, longer lead times, project schedule delays, inventory management challenges, or higher operating costs. The conflicts in the Middle East had an impact on our operating results in the fourth quarter of fiscal year 2026 through delays in timing of shipments, customer acceptance procedures, project schedules, and new orders. Material future developments could adversely affect our ability to procure components, fulfill customer orders, deploy personnel, or complete installations in a timely manner and could have an adverse effect on our results of operations and financial condition.</w:t>
      </w:r>
    </w:p>
    <w:p>
      <w:pPr>
        <w:spacing w:after="0" w:line="16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Russia-Ukraine Conflict. </w:t>
      </w:r>
      <w:r>
        <w:rPr>
          <w:rFonts w:ascii="Times New Roman" w:cs="Times New Roman" w:eastAsia="Times New Roman" w:hAnsi="Times New Roman"/>
          <w:sz w:val="20"/>
          <w:szCs w:val="20"/>
          <w:color w:val="auto"/>
        </w:rPr>
        <w:t>The invasion of Ukraine by Russia and the sanctions imposed in response to this conflict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global economic and political uncertainty. This has the potential to indirectly disrupt our supply chain and access to certain resources. While we have not experienced significant adverse impacts to date resulting from this conflict, we have certain research and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1347" w:right="540" w:bottom="0" w:gutter="0" w:footer="0" w:header="0"/>
          <w:type w:val="continuous"/>
        </w:sectPr>
      </w:pPr>
    </w:p>
    <w:bookmarkStart w:id="53" w:name="page54"/>
    <w:bookmarkEnd w:id="53"/>
    <w:p>
      <w:pPr>
        <w:jc w:val="both"/>
        <w:spacing w:after="0" w:line="278" w:lineRule="auto"/>
        <w:rPr>
          <w:sz w:val="20"/>
          <w:szCs w:val="20"/>
          <w:color w:val="auto"/>
        </w:rPr>
      </w:pPr>
      <w:r>
        <w:rPr>
          <w:rFonts w:ascii="Times New Roman" w:cs="Times New Roman" w:eastAsia="Times New Roman" w:hAnsi="Times New Roman"/>
          <w:sz w:val="20"/>
          <w:szCs w:val="20"/>
          <w:color w:val="auto"/>
        </w:rPr>
        <w:t>development activities within Ukraine for our Healthcare division which have been somewhat impacted. The conflicts also have increased the threat of malicious cyber-activity from other countries and other actors.</w:t>
      </w:r>
    </w:p>
    <w:p>
      <w:pPr>
        <w:spacing w:after="0" w:line="12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Currency Exchange Rates. </w:t>
      </w:r>
      <w:r>
        <w:rPr>
          <w:rFonts w:ascii="Times New Roman" w:cs="Times New Roman" w:eastAsia="Times New Roman" w:hAnsi="Times New Roman"/>
          <w:sz w:val="20"/>
          <w:szCs w:val="20"/>
          <w:color w:val="auto"/>
        </w:rPr>
        <w:t>On a year-over-year basis, currency exchange rates positively impacted reported sales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approximately 0.6% for the year ended June 30, 2026 compared to the year ended June 30, 2025, primarily due to the weakening of the U.S. dollar against other foreign currencies in fiscal 2026. Any strengthening of the U.S. dollar against foreign currencies would adversely impact our sales in future periods, and any weakening of the U.S. dollar against foreign currencies would positively impact our sales in future periods.</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Significant International Security Contracts. </w:t>
      </w:r>
      <w:r>
        <w:rPr>
          <w:rFonts w:ascii="Times New Roman" w:cs="Times New Roman" w:eastAsia="Times New Roman" w:hAnsi="Times New Roman"/>
          <w:sz w:val="20"/>
          <w:szCs w:val="20"/>
          <w:color w:val="auto"/>
        </w:rPr>
        <w:t>During fiscal years 2023 and 2024, our Security division was awarded three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 international contracts valued in aggregate greater than $800 million. During fiscal years 2024, 2025 and 2026, we recognized revenues generated from these contracts of approximately $404 million, $231 million and $79 million, respectively. Further revenues are expected to be recognized in fiscal year 2027 and beyond, albeit at relatively lower amounts as we have fulfilled the majority of equipment deliveries as of the end of fiscal year 2026.</w:t>
      </w:r>
    </w:p>
    <w:p>
      <w:pPr>
        <w:spacing w:after="0" w:line="15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Healthcare Considerations. </w:t>
      </w:r>
      <w:r>
        <w:rPr>
          <w:rFonts w:ascii="Times New Roman" w:cs="Times New Roman" w:eastAsia="Times New Roman" w:hAnsi="Times New Roman"/>
          <w:sz w:val="20"/>
          <w:szCs w:val="20"/>
          <w:color w:val="auto"/>
        </w:rPr>
        <w:t>Certain hospitals are facing significant financial pressure as supply chain constraints and inflation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 up operating costs and higher interest rates make access to credit more expensive. To the extent macroeconomic conditions remain challenging, it is likely that hospitals’ spend on capital equipment will be adversely impacted.</w:t>
      </w:r>
    </w:p>
    <w:p>
      <w:pPr>
        <w:spacing w:after="0" w:line="146" w:lineRule="exact"/>
        <w:rPr>
          <w:sz w:val="20"/>
          <w:szCs w:val="20"/>
          <w:color w:val="auto"/>
        </w:rPr>
      </w:pPr>
    </w:p>
    <w:p>
      <w:pPr>
        <w:jc w:val="both"/>
        <w:ind w:right="28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Government Policies. </w:t>
      </w:r>
      <w:r>
        <w:rPr>
          <w:rFonts w:ascii="Times New Roman" w:cs="Times New Roman" w:eastAsia="Times New Roman" w:hAnsi="Times New Roman"/>
          <w:sz w:val="20"/>
          <w:szCs w:val="20"/>
          <w:color w:val="auto"/>
        </w:rPr>
        <w:t>Our results of operations and cash flows could be materially affected by changes in U.S. or foreign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legislative, regulatory or enforcement policies, as well as potential or actual U.S. government shutdowns, including the impact on near-term bookings and revenues of the recent Department of Homeland Security shutdown.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is based on our consolidated financial statements, which have been prepared in conformity with accounting principles generally accepted in the United States (“GAAP”). Our preparation of these consolidated financial statements requires us to make judgments and estimates that affect the reported amounts of assets and liabilities, disclosure of contingent assets and liabilities at the date of the financial statements and the reported amounts of revenues and expenses during the reporting period. We base our estimates on historical experience and on various other assumptions that we believe to be reasonable under the circumstances. As a result, actual results may differ from such estimates. Our senior management has reviewed these critical accounting policies and estimates and related disclosures with the Audit Committee of our Board of Directors. The following summarizes our critical accounting policies and estimates used in preparing our consolidated financial statements:</w:t>
      </w:r>
    </w:p>
    <w:p>
      <w:pPr>
        <w:spacing w:after="0" w:line="20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We recognize revenue when performance obligations under the terms of the contracts with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are satisfied. Our performance obligations are broadly categorized as product sales, service revenue, and project-specific contract revenue. Revenue from sales of products is recognized upon shipment or delivery when control of the product transfers to the customer, depending on the terms of each sale, and when collection is probable. Revenue from services includes installation and implementation of products and turnkey security screening services and after-market services. Generally, revenue from services is recognized over time as the services are performed. Sales agreements with customers can be project specific, cover a period of time, and can be renewable periodically. The contracts may contain terms and conditions with respect to payment, delivery, installation, services, warranty and other rights. Contracts with customers may include the sale of products and services.</w:t>
      </w:r>
    </w:p>
    <w:p>
      <w:pPr>
        <w:spacing w:after="0" w:line="20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certain instances, contracts with customers can contain multiple performance obligations such as civil works to prepare a site for equipment installation, training of customer personnel to operate equipment, and after-market service of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Inventory. </w:t>
      </w:r>
      <w:r>
        <w:rPr>
          <w:rFonts w:ascii="Times New Roman" w:cs="Times New Roman" w:eastAsia="Times New Roman" w:hAnsi="Times New Roman"/>
          <w:sz w:val="20"/>
          <w:szCs w:val="20"/>
          <w:color w:val="auto"/>
        </w:rPr>
        <w:t>The majority of our inventories are valued using the average costing method with select subsidiaries using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standard costing method. Inventories are stated at the lower of cost (first-in, first-out) or net realizable value. We write down inventory for slow-moving and obsolete inventory based on historical usage, orders on hand, assessments of future demands, and market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1349" w:right="540" w:bottom="0" w:gutter="0" w:footer="0" w:header="0"/>
          <w:type w:val="continuous"/>
        </w:sectPr>
      </w:pPr>
    </w:p>
    <w:bookmarkStart w:id="54" w:name="page55"/>
    <w:bookmarkEnd w:id="54"/>
    <w:p>
      <w:pPr>
        <w:jc w:val="both"/>
        <w:spacing w:after="0" w:line="278" w:lineRule="auto"/>
        <w:rPr>
          <w:sz w:val="20"/>
          <w:szCs w:val="20"/>
          <w:color w:val="auto"/>
        </w:rPr>
      </w:pPr>
      <w:r>
        <w:rPr>
          <w:rFonts w:ascii="Times New Roman" w:cs="Times New Roman" w:eastAsia="Times New Roman" w:hAnsi="Times New Roman"/>
          <w:sz w:val="20"/>
          <w:szCs w:val="20"/>
          <w:color w:val="auto"/>
        </w:rPr>
        <w:t>conditions, among other items. If these factors become less favorable than those projected, additional inventory write-downs may be required.</w:t>
      </w:r>
    </w:p>
    <w:p>
      <w:pPr>
        <w:spacing w:after="0" w:line="168"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Our annual tax rate is based on our income, statutory tax rates and tax planning opportunities available to us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uncertainties. We review our tax positions quarterly and adjust the balances as new information becomes available. We recognize liabilities for uncertain tax positions that reflect our best estimate of the amount ultimately expected to be paid, including, where appropriate, related interest and penalties.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by assessing the adequacy of future expected taxable income from all sources, including reversal of taxable temporary differences, forecasted operating earnings and available tax planning strategies. These sources of income inherently rely on estimates. To provide insight, we use our historical experience and our short and long-range business forecasts. We believe it is more likely than not that a portion of the deferred income tax assets may expire unused and therefore have established a valuation allowance against them. Although realization is not assured for the remaining deferred income tax assets, we believe it is more likely than not that the deferred tax assets will be fully recoverable within the applicable statutory expiration periods. However, deferred tax assets could be reduced in the near term if our estimates of taxable income are significantly reduced or available tax planning strategies are no longer viable.</w:t>
      </w:r>
    </w:p>
    <w:p>
      <w:pPr>
        <w:spacing w:after="0" w:line="202"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On July 4, 2025, the One Big Beautiful Bill Act (the “OBBBA”) was signed into law. Key income-tax related provisions of the OBBBA relevant to our Company include the removal of mandatory capitalization of domestic research and development expenditures, permanent extension of bonus depreciation and revisions to international tax regimes. The Company evaluated the provisions of the legislation and based on the Company’s analysis, the OBBBA did not have a material impact on the Company’s consolidated financial statements. The Company will continue to monitor any future administrative guidance related to the legislation.</w:t>
      </w:r>
    </w:p>
    <w:p>
      <w:pPr>
        <w:spacing w:after="0" w:line="19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Combinations. </w:t>
      </w:r>
      <w:r>
        <w:rPr>
          <w:rFonts w:ascii="Times New Roman" w:cs="Times New Roman" w:eastAsia="Times New Roman" w:hAnsi="Times New Roman"/>
          <w:sz w:val="20"/>
          <w:szCs w:val="20"/>
          <w:color w:val="auto"/>
        </w:rPr>
        <w:t>In connection with the acquisition of a business, we record the fair value of purchase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tangible and intangible assets acquired, and liabilities assumed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Our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we may record adjustments to the provisional amounts initially recorded for the assets acquired and liabilities assumed, with the corresponding offset to goodwill. Upon the conclusion of the measurement period, any subsequent adjustments are recorded to earnings.</w:t>
      </w:r>
    </w:p>
    <w:p>
      <w:pPr>
        <w:spacing w:after="0" w:line="20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and Other Contingencies. </w:t>
      </w:r>
      <w:r>
        <w:rPr>
          <w:rFonts w:ascii="Times New Roman" w:cs="Times New Roman" w:eastAsia="Times New Roman" w:hAnsi="Times New Roman"/>
          <w:sz w:val="20"/>
          <w:szCs w:val="20"/>
          <w:color w:val="auto"/>
        </w:rPr>
        <w:t>We are subject to various claims and legal proceedings. We review the status of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 legal dispute to which we are a party and assess our potential financial exposure, if any. If the potential financial exposure from any claim or legal proceeding is considered probable and the amount can be reasonably estimated, we record a liability and an expense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revise our estimates accordingly. Such revisions in the estimates of the potential liabilities could have a material impact on our results of operations and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Revenues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table below and the discussion that follows are based upon the way we analyze our business. See Note 14 to the consolidated financial statements for additional information about business segments.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1349" w:right="54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0" w:type="dxa"/>
            <w:vAlign w:val="bottom"/>
          </w:tcPr>
          <w:p>
            <w:pPr>
              <w:spacing w:after="0"/>
              <w:rPr>
                <w:sz w:val="15"/>
                <w:szCs w:val="15"/>
                <w:color w:val="auto"/>
              </w:rPr>
            </w:pPr>
          </w:p>
        </w:tc>
        <w:tc>
          <w:tcPr>
            <w:tcW w:w="11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of</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of</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2024-2025</w:t>
            </w:r>
          </w:p>
        </w:tc>
        <w:tc>
          <w:tcPr>
            <w:tcW w:w="2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2025-2026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Net Revenues</w:t>
            </w:r>
          </w:p>
        </w:tc>
        <w:tc>
          <w:tcPr>
            <w:tcW w:w="220" w:type="dxa"/>
            <w:vAlign w:val="bottom"/>
            <w:gridSpan w:val="2"/>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gridSpan w:val="2"/>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Net Revenues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960" w:type="dxa"/>
            <w:vAlign w:val="bottom"/>
            <w:gridSpan w:val="4"/>
          </w:tcPr>
          <w:p>
            <w:pPr>
              <w:jc w:val="right"/>
              <w:ind w:right="268"/>
              <w:spacing w:after="0" w:line="175" w:lineRule="exact"/>
              <w:rPr>
                <w:sz w:val="20"/>
                <w:szCs w:val="20"/>
                <w:color w:val="auto"/>
              </w:rPr>
            </w:pPr>
            <w:r>
              <w:rPr>
                <w:rFonts w:ascii="Times New Roman" w:cs="Times New Roman" w:eastAsia="Times New Roman" w:hAnsi="Times New Roman"/>
                <w:sz w:val="16"/>
                <w:szCs w:val="16"/>
                <w:b w:val="1"/>
                <w:bCs w:val="1"/>
                <w:color w:val="auto"/>
              </w:rPr>
              <w:t>(Dollars in millions)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Security</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5"/>
              </w:rPr>
              <w:t>$ 1,043.1</w:t>
            </w:r>
          </w:p>
        </w:tc>
        <w:tc>
          <w:tcPr>
            <w:tcW w:w="10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10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 $ 1,196.2</w:t>
            </w:r>
          </w:p>
        </w:tc>
        <w:tc>
          <w:tcPr>
            <w:tcW w:w="21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69.8 % $ 1,248.0</w:t>
            </w:r>
          </w:p>
        </w:tc>
        <w:tc>
          <w:tcPr>
            <w:tcW w:w="126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69.9 %</w:t>
            </w:r>
          </w:p>
        </w:tc>
        <w:tc>
          <w:tcPr>
            <w:tcW w:w="94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14.7 %</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Optoelectronics / Manufacturing</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20.3 %</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21.0 %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7.5 %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Healthcare</w:t>
            </w: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171.4</w:t>
            </w:r>
          </w:p>
        </w:tc>
        <w:tc>
          <w:tcPr>
            <w:tcW w:w="10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shd w:val="clear" w:color="auto" w:fill="E6E6E6"/>
          </w:tcPr>
          <w:p>
            <w:pPr>
              <w:spacing w:after="0"/>
              <w:rPr>
                <w:sz w:val="20"/>
                <w:szCs w:val="20"/>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130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9.9 %</w:t>
            </w:r>
          </w:p>
        </w:tc>
        <w:tc>
          <w:tcPr>
            <w:tcW w:w="20" w:type="dxa"/>
            <w:vAlign w:val="bottom"/>
            <w:shd w:val="clear" w:color="auto" w:fill="E6E6E6"/>
          </w:tcPr>
          <w:p>
            <w:pPr>
              <w:spacing w:after="0"/>
              <w:rPr>
                <w:sz w:val="20"/>
                <w:szCs w:val="20"/>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126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9.1 %</w:t>
            </w:r>
          </w:p>
        </w:tc>
        <w:tc>
          <w:tcPr>
            <w:tcW w:w="94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(1.8)%</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0"/>
        </w:trPr>
        <w:tc>
          <w:tcPr>
            <w:tcW w:w="26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Net Revenues</w:t>
            </w: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$ 1,538.8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$ 1,713.2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$ 1,786.0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11.3 %</w:t>
            </w:r>
          </w:p>
        </w:tc>
        <w:tc>
          <w:tcPr>
            <w:tcW w:w="9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4.2 %</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Revenues for the Security division during the fiscal year ended June 30, 2026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by $51.8 million on a year-over-year basis primarily due to an increase in service revenues. The increase in service revenues was due primarily to the increase in the installed base of products of cargo and vehicle inspection systems and aviation and checkpoint inspection systems. Product revenues for fiscal 2026 were comparable to fiscal 2025 as an increase in revenue from RF systems and other security products were offset by a decrease in product revenues from customers in Mexico.</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Revenues for the Optoelectronics and Manufacturing division during the fiscal year ended June 30, 2026 increased year -over-year by $26.7 million due to increases in our optoelectronics business and our contract manufacturing business of $8.2 million and $18.5 million, respectively.</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Revenues for the Healthcare division during the fiscal year ended June 30, 2026 decreased by $5.6 million year-over-year due primarily to a reduction in patient monitoring sales of $9.6 million, in service revenue of $1.9 million and in supplies and accessories revenue of $1.8 million, partially offset by increases in cardiology sales of $7.7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0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7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00" w:type="dxa"/>
            <w:vAlign w:val="bottom"/>
          </w:tcPr>
          <w:p>
            <w:pPr>
              <w:spacing w:after="0"/>
              <w:rPr>
                <w:sz w:val="16"/>
                <w:szCs w:val="16"/>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Net Revenues</w:t>
            </w: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(Dollars</w:t>
            </w:r>
          </w:p>
        </w:tc>
        <w:tc>
          <w:tcPr>
            <w:tcW w:w="200" w:type="dxa"/>
            <w:vAlign w:val="bottom"/>
            <w:vMerge w:val="continue"/>
          </w:tcPr>
          <w:p>
            <w:pPr>
              <w:spacing w:after="0"/>
              <w:rPr>
                <w:sz w:val="15"/>
                <w:szCs w:val="15"/>
                <w:color w:val="auto"/>
              </w:rPr>
            </w:pPr>
          </w:p>
        </w:tc>
        <w:tc>
          <w:tcPr>
            <w:tcW w:w="9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530.5</w:t>
            </w:r>
          </w:p>
        </w:tc>
        <w:tc>
          <w:tcPr>
            <w:tcW w:w="1520" w:type="dxa"/>
            <w:vAlign w:val="bottom"/>
            <w:gridSpan w:val="4"/>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34.5 % $</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587.2</w:t>
            </w:r>
          </w:p>
        </w:tc>
        <w:tc>
          <w:tcPr>
            <w:tcW w:w="1540" w:type="dxa"/>
            <w:vAlign w:val="bottom"/>
            <w:gridSpan w:val="4"/>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34.3 % $</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593.1</w:t>
            </w:r>
          </w:p>
        </w:tc>
        <w:tc>
          <w:tcPr>
            <w:tcW w:w="13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33.2 %</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Gross profit is impacted by sales volume and changes in overall manufacturing-related costs, such as raw materials and component costs, warranty expense, provision for inventory, freight, tariffs, and logistics. Gross profit increased approximately $5.9 million in fiscal 2026 as compared to the prior year on a 4.3% increase in net revenue. The gross margin in fiscal year 2026 was lower than the prior year due to the sales mix in the Security division arising from an unfavorable shift in revenue mix. Revenue from Security division customers in Mexico, which generated margins above the division average, declined by $148.8 million year-over-year, while revenue increased in businesses that generally carried lower margins. Gross margin was also adversely affected by lower margins in aviation and checkpoint inspection systems. These impacts were partially offset by higher revenue and improved profitability from RF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ectPr>
          <w:pgSz w:w="11880" w:h="15480" w:orient="portrait"/>
          <w:cols w:equalWidth="0" w:num="1">
            <w:col w:w="10800"/>
          </w:cols>
          <w:pgMar w:left="540" w:top="1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w:t>
      </w:r>
    </w:p>
    <w:p>
      <w:pPr>
        <w:spacing w:after="0"/>
        <w:rPr>
          <w:sz w:val="20"/>
          <w:szCs w:val="20"/>
          <w:color w:val="auto"/>
        </w:rPr>
      </w:pPr>
      <w:r>
        <w:rPr>
          <w:rFonts w:ascii="Times New Roman" w:cs="Times New Roman" w:eastAsia="Times New Roman" w:hAnsi="Times New Roman"/>
          <w:sz w:val="20"/>
          <w:szCs w:val="20"/>
          <w:color w:val="auto"/>
        </w:rPr>
        <w:t>Impairment, restructuring and other</w:t>
      </w:r>
    </w:p>
    <w:p>
      <w:pPr>
        <w:ind w:left="140"/>
        <w:spacing w:after="0"/>
        <w:rPr>
          <w:sz w:val="20"/>
          <w:szCs w:val="20"/>
          <w:color w:val="auto"/>
        </w:rPr>
      </w:pPr>
      <w:r>
        <w:rPr>
          <w:rFonts w:ascii="Times New Roman" w:cs="Times New Roman" w:eastAsia="Times New Roman" w:hAnsi="Times New Roman"/>
          <w:sz w:val="20"/>
          <w:szCs w:val="20"/>
          <w:color w:val="auto"/>
        </w:rPr>
        <w:t>charges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Total operating expenses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4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5"/>
                <w:szCs w:val="15"/>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 of</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2024-2025</w:t>
            </w:r>
          </w:p>
        </w:tc>
        <w:tc>
          <w:tcPr>
            <w:tcW w:w="2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2025-2026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 Revenues</w:t>
            </w:r>
          </w:p>
        </w:tc>
        <w:tc>
          <w:tcPr>
            <w:tcW w:w="680" w:type="dxa"/>
            <w:vAlign w:val="bottom"/>
            <w:gridSpan w:val="2"/>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 Revenues</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6"/>
              </w:rPr>
              <w:t>Net Revenues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(Dollars</w:t>
            </w:r>
          </w:p>
        </w:tc>
        <w:tc>
          <w:tcPr>
            <w:tcW w:w="2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tcBorders>
              <w:top w:val="single" w:sz="8" w:color="auto"/>
            </w:tcBorders>
            <w:gridSpan w:val="2"/>
          </w:tcPr>
          <w:p>
            <w:pPr>
              <w:jc w:val="right"/>
              <w:ind w:right="50"/>
              <w:spacing w:after="0" w:line="175" w:lineRule="exact"/>
              <w:rPr>
                <w:sz w:val="20"/>
                <w:szCs w:val="20"/>
                <w:color w:val="auto"/>
              </w:rPr>
            </w:pPr>
            <w:r>
              <w:rPr>
                <w:rFonts w:ascii="Times New Roman" w:cs="Times New Roman" w:eastAsia="Times New Roman" w:hAnsi="Times New Roman"/>
                <w:sz w:val="16"/>
                <w:szCs w:val="16"/>
                <w:b w:val="1"/>
                <w:bCs w:val="1"/>
                <w:color w:val="auto"/>
                <w:w w:val="87"/>
              </w:rPr>
              <w:t>millions)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$ 269.7</w:t>
            </w:r>
          </w:p>
        </w:tc>
        <w:tc>
          <w:tcPr>
            <w:tcW w:w="19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17.5 % $ 290.9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90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$ 278.4</w:t>
            </w:r>
          </w:p>
        </w:tc>
        <w:tc>
          <w:tcPr>
            <w:tcW w:w="12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15.6 %</w:t>
            </w:r>
          </w:p>
        </w:tc>
        <w:tc>
          <w:tcPr>
            <w:tcW w:w="9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0" w:type="dxa"/>
            <w:vAlign w:val="bottom"/>
            <w:vMerge w:val="restart"/>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5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9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E6E6E6"/>
              </w:rPr>
              <w:t>%</w:t>
            </w:r>
          </w:p>
        </w:tc>
        <w:tc>
          <w:tcPr>
            <w:tcW w:w="7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c>
          <w:tcPr>
            <w:tcW w:w="7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213.2</w:t>
            </w:r>
          </w:p>
        </w:tc>
        <w:tc>
          <w:tcPr>
            <w:tcW w:w="1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E6E6E6"/>
            </w:tcBorders>
            <w:shd w:val="clear" w:color="auto" w:fill="E6E6E6"/>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c>
          <w:tcPr>
            <w:tcW w:w="20" w:type="dxa"/>
            <w:vAlign w:val="bottom"/>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E6E6E6"/>
            </w:tcBorders>
            <w:shd w:val="clear" w:color="auto" w:fill="E6E6E6"/>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00" w:type="dxa"/>
            <w:vAlign w:val="bottom"/>
            <w:vMerge w:val="continue"/>
            <w:shd w:val="clear" w:color="auto" w:fill="E6E6E6"/>
          </w:tcPr>
          <w:p>
            <w:pPr>
              <w:spacing w:after="0"/>
              <w:rPr>
                <w:sz w:val="21"/>
                <w:szCs w:val="21"/>
                <w:color w:val="auto"/>
              </w:rPr>
            </w:pPr>
          </w:p>
        </w:tc>
        <w:tc>
          <w:tcPr>
            <w:tcW w:w="20" w:type="dxa"/>
            <w:vAlign w:val="bottom"/>
            <w:vMerge w:val="continue"/>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580" w:type="dxa"/>
            <w:vAlign w:val="bottom"/>
            <w:tcBorders>
              <w:bottom w:val="single" w:sz="8" w:color="auto"/>
            </w:tcBorders>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920" w:type="dxa"/>
            <w:vAlign w:val="bottom"/>
            <w:tcBorders>
              <w:bottom w:val="single" w:sz="8" w:color="auto"/>
            </w:tcBorders>
            <w:vMerge w:val="continue"/>
            <w:shd w:val="clear" w:color="auto" w:fill="E6E6E6"/>
          </w:tcPr>
          <w:p>
            <w:pPr>
              <w:spacing w:after="0"/>
              <w:rPr>
                <w:sz w:val="21"/>
                <w:szCs w:val="21"/>
                <w:color w:val="auto"/>
              </w:rPr>
            </w:pPr>
          </w:p>
        </w:tc>
        <w:tc>
          <w:tcPr>
            <w:tcW w:w="220" w:type="dxa"/>
            <w:vAlign w:val="bottom"/>
            <w:vMerge w:val="continue"/>
            <w:shd w:val="clear" w:color="auto" w:fill="E6E6E6"/>
          </w:tcPr>
          <w:p>
            <w:pPr>
              <w:spacing w:after="0"/>
              <w:rPr>
                <w:sz w:val="21"/>
                <w:szCs w:val="21"/>
                <w:color w:val="auto"/>
              </w:rPr>
            </w:pPr>
          </w:p>
        </w:tc>
        <w:tc>
          <w:tcPr>
            <w:tcW w:w="740" w:type="dxa"/>
            <w:vAlign w:val="bottom"/>
            <w:vMerge w:val="continue"/>
            <w:shd w:val="clear" w:color="auto" w:fill="E6E6E6"/>
          </w:tcPr>
          <w:p>
            <w:pPr>
              <w:spacing w:after="0"/>
              <w:rPr>
                <w:sz w:val="21"/>
                <w:szCs w:val="21"/>
                <w:color w:val="auto"/>
              </w:rPr>
            </w:pPr>
          </w:p>
        </w:tc>
        <w:tc>
          <w:tcPr>
            <w:tcW w:w="200" w:type="dxa"/>
            <w:vAlign w:val="bottom"/>
            <w:vMerge w:val="continue"/>
            <w:shd w:val="clear" w:color="auto" w:fill="E6E6E6"/>
          </w:tcPr>
          <w:p>
            <w:pPr>
              <w:spacing w:after="0"/>
              <w:rPr>
                <w:sz w:val="21"/>
                <w:szCs w:val="21"/>
                <w:color w:val="auto"/>
              </w:rPr>
            </w:pPr>
          </w:p>
        </w:tc>
        <w:tc>
          <w:tcPr>
            <w:tcW w:w="740" w:type="dxa"/>
            <w:vAlign w:val="bottom"/>
            <w:vMerge w:val="continue"/>
            <w:shd w:val="clear" w:color="auto" w:fill="E6E6E6"/>
          </w:tcPr>
          <w:p>
            <w:pPr>
              <w:spacing w:after="0"/>
              <w:rPr>
                <w:sz w:val="21"/>
                <w:szCs w:val="21"/>
                <w:color w:val="auto"/>
              </w:rPr>
            </w:pPr>
          </w:p>
        </w:tc>
        <w:tc>
          <w:tcPr>
            <w:tcW w:w="16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341.4</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22.2</w:t>
            </w: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369.6</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21.6</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$ 374.1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20.9</w:t>
            </w:r>
          </w:p>
        </w:tc>
        <w:tc>
          <w:tcPr>
            <w:tcW w:w="2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5"/>
              </w:rPr>
              <w:t>%</w:t>
            </w:r>
          </w:p>
        </w:tc>
        <w:tc>
          <w:tcPr>
            <w:tcW w:w="9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8.3 %</w:t>
            </w:r>
          </w:p>
        </w:tc>
        <w:tc>
          <w:tcPr>
            <w:tcW w:w="9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-767715</wp:posOffset>
            </wp:positionV>
            <wp:extent cx="433197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extLst>
                        <a:ext uri="{28A0092B-C50C-407E-A947-70E740481C1C}"/>
                      </a:extLst>
                    </a:blip>
                    <a:srcRect/>
                    <a:stretch>
                      <a:fillRect/>
                    </a:stretch>
                  </pic:blipFill>
                  <pic:spPr bwMode="auto">
                    <a:xfrm>
                      <a:off x="0" y="0"/>
                      <a:ext cx="433197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-476250</wp:posOffset>
            </wp:positionV>
            <wp:extent cx="4331970" cy="318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extLst>
                    </a:blip>
                    <a:srcRect/>
                    <a:stretch>
                      <a:fillRect/>
                    </a:stretch>
                  </pic:blipFill>
                  <pic:spPr bwMode="auto">
                    <a:xfrm>
                      <a:off x="0" y="0"/>
                      <a:ext cx="4331970" cy="31813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860" w:space="240"/>
            <w:col w:w="7700"/>
          </w:cols>
          <w:pgMar w:left="540" w:top="1370" w:right="5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w:t>
      </w:r>
    </w:p>
    <w:p>
      <w:pPr>
        <w:spacing w:after="0" w:line="24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Our significant selling, general and administrative (“SG&amp;A”) expenses include employee compensation, sales commissions, travel, professional services, marketing expenses, and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1370" w:right="540" w:bottom="0" w:gutter="0" w:footer="0" w:header="0"/>
          <w:type w:val="continuous"/>
        </w:sectPr>
      </w:pPr>
    </w:p>
    <w:bookmarkStart w:id="56" w:name="page57"/>
    <w:bookmarkEnd w:id="56"/>
    <w:p>
      <w:pPr>
        <w:jc w:val="both"/>
        <w:ind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SG&amp;A expense for the fiscal year ended June 30, 2026 decreased $12.5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same prior-year period, primarily due to a favorable impact from foreign currency exchange rates and decreased employee compensation, including reduced stock-based compensation expense related to the retirement of our former CEO in fiscal year 2025, partially offset by higher bad debt expense compared to the same prior-year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Security and Healthcare divisions have historically invested substantial amounts in research and development (“R&amp;D”). We intend to continue this trend in future years, although specific programs may or may not continue to be funded and funding levels may fluctuate. R&amp;D expenses included research related to new product development and product enhancement expenditures.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R&amp;D expense during the fiscal year ended June 30, 2026 was $5.7 million higher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than in the same prior-year period, driven primarily by increased compensation costs to support new product development initiatives primarily in our Security division and Healthcare division.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restructuring and other charges</w:t>
      </w:r>
    </w:p>
    <w:p>
      <w:pPr>
        <w:spacing w:after="0" w:line="243"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Impairment, restructuring and other charges generally consist of charges relating to reductions in our workforce, facilities consolidation, impairment of assets, costs related to acquisition activity, legal charges and other non-recurring charges. We have undertaken certain restructuring activities in an effort to align our global capacity and infrastructure with demand by our customers and fully integrate acquisitions, thereby improving our operational efficiency. Our efforts have helped enhance our ability to improve operating margins, retain and expand existing relationships with customers and attract new business. We may utilize similar measures in the future to realign our operations to further increase our operating efficiencies. The effect of these efforts may materially affect our future operating results.</w:t>
      </w:r>
    </w:p>
    <w:p>
      <w:pPr>
        <w:spacing w:after="0" w:line="201"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During the fiscal year ended June 30, 2026, impairment, restructuring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charges were $16.6 million and consisted of $5.1 million for employee terminations, $2.1 million in acquisition related costs, $1.2 million for impairment of assets, $0.2 million for facility closure costs for operational efficiency activities, $1.6 million in legal charges, $2.2 million for non-recurring charges in our Security division, and $4.2 million for non-recurring charges in our Healthcare division. During the fiscal year ended June 30, 2025, impairment, restructuring and other charges were $5.3 million and consisted of $0.7 million for facility closure costs for operational efficiency activities, $2.7 million for employee terminations, $0.6 million in acquisition related costs, and $1.3 million in legal charges.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and Other Expense, Net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00" w:type="dxa"/>
            <w:vAlign w:val="bottom"/>
          </w:tcPr>
          <w:p>
            <w:pPr>
              <w:spacing w:after="0"/>
              <w:rPr>
                <w:sz w:val="16"/>
                <w:szCs w:val="16"/>
                <w:color w:val="auto"/>
              </w:rPr>
            </w:pPr>
          </w:p>
        </w:tc>
        <w:tc>
          <w:tcPr>
            <w:tcW w:w="8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Fiscal</w:t>
            </w:r>
          </w:p>
        </w:tc>
      </w:tr>
      <w:tr>
        <w:trPr>
          <w:trHeight w:val="203"/>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74"/>
        </w:trPr>
        <w:tc>
          <w:tcPr>
            <w:tcW w:w="7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gridSpan w:val="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9"/>
        </w:trPr>
        <w:tc>
          <w:tcPr>
            <w:tcW w:w="72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and other expense, net</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4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26.2</w:t>
            </w:r>
          </w:p>
        </w:tc>
      </w:tr>
    </w:tbl>
    <w:p>
      <w:pPr>
        <w:spacing w:after="0" w:line="21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For the fiscal year ended June 30, 2026, interest and other expense, net was $26.2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as compared to $31.4 million in the prior fiscal year. The decrease in interest and other expense, net was a result of a decrease in interest expense from lower average interest rates on our borrowings due to issuance of convertible notes and concurrent paydown of our revolving credit facility, and higher interest income on increased levels of cash in fiscal 2026 compared to the same prior year period. These favorable impacts were partially offset by an increase in other expense in fiscal 2026 of $4.4 million for prior service cost amortization due to a pension plan amendment in December 2025 for our former CEO and a $1.3 million reduction in benefit from the interest rate swap in fiscal 2026 compared to the prior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00" w:type="dxa"/>
            <w:vAlign w:val="bottom"/>
          </w:tcPr>
          <w:p>
            <w:pPr>
              <w:spacing w:after="0"/>
              <w:rPr>
                <w:sz w:val="16"/>
                <w:szCs w:val="16"/>
                <w:color w:val="auto"/>
              </w:rPr>
            </w:pPr>
          </w:p>
        </w:tc>
        <w:tc>
          <w:tcPr>
            <w:tcW w:w="8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Fiscal</w:t>
            </w:r>
          </w:p>
        </w:tc>
      </w:tr>
      <w:tr>
        <w:trPr>
          <w:trHeight w:val="204"/>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73"/>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gridSpan w:val="4"/>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0"/>
        </w:trPr>
        <w:tc>
          <w:tcPr>
            <w:tcW w:w="72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4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220" w:type="dxa"/>
            <w:vAlign w:val="bottom"/>
            <w:shd w:val="clear" w:color="auto" w:fill="E6E6E6"/>
          </w:tcPr>
          <w:p>
            <w:pPr>
              <w:spacing w:after="0"/>
              <w:rPr>
                <w:sz w:val="20"/>
                <w:szCs w:val="20"/>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38.0</w:t>
            </w:r>
          </w:p>
        </w:tc>
      </w:tr>
    </w:tbl>
    <w:p>
      <w:pPr>
        <w:spacing w:after="0" w:line="200" w:lineRule="exact"/>
        <w:rPr>
          <w:sz w:val="20"/>
          <w:szCs w:val="20"/>
          <w:color w:val="auto"/>
        </w:rPr>
      </w:pP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1349" w:right="540" w:bottom="0" w:gutter="0" w:footer="0" w:header="0"/>
          <w:type w:val="continuous"/>
        </w:sectPr>
      </w:pPr>
    </w:p>
    <w:bookmarkStart w:id="57" w:name="page58"/>
    <w:bookmarkEnd w:id="57"/>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effective tax rate for a particular period varies depending on a number of factors including (i) the mix of income 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(vi) return to provision adjustments and (vii) changes in tax legislation.</w:t>
      </w:r>
    </w:p>
    <w:p>
      <w:pPr>
        <w:spacing w:after="0" w:line="198"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Fiscal 2026 Compared with Fiscal 2025. </w:t>
      </w:r>
      <w:r>
        <w:rPr>
          <w:rFonts w:ascii="Times New Roman" w:cs="Times New Roman" w:eastAsia="Times New Roman" w:hAnsi="Times New Roman"/>
          <w:sz w:val="20"/>
          <w:szCs w:val="20"/>
          <w:color w:val="auto"/>
        </w:rPr>
        <w:t>For the fiscal years ended June 30, 2026 and 2025, we recorded a provision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taxes of $38.0 million and $36.5 million, respectively. The effective tax rate for the fiscal years ended June 30, 2026 and 2025 was 19.7% and 19.6%, respectively. During the fiscal years ended June 30, 2026 and 2025, we recognized a net discrete tax benefit of $5.8 million and $6.7 million, respectively. The net discrete benefit recorded in the fiscal year ended June 30, 2026 is primarily related to equity-based compensation under ASU 2016-09, changes to prior year estimates, and changes in uncertain tax positions. The net discrete benefit recorded in the fiscal year ended June 30, 2025 is primarily related to equity-based compensation under ASU 2016-09, favorable resolution to a foreign tax dispute, and changes in uncertain tax positions.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Our principal sources of liquidity are our cash and cash equivalents, cash generated from operations, existing cash borrowing arrangements and access to capital markets. Cash and cash equivalents totaled $359.8 million at June 30, 2026, compared to $106.4 million at June 30, 2025. During fiscal 2026, we generated positive cash flow from operating activities and issued senior convertible notes which were primarily used to repay borrowings on our credit facility, repurchase shares of common stock, fund investing activities and pay taxes related to net share settlements of equity awards as discussed further below. If we continue to net settle equity awards, we will continue to use additional cash to pay our tax withholding obligations in connection with such settlements. We currently anticipate that our available funds, credit facilities and cash flow from operations will be sufficient to meet our operational cash needs for the next 12 months and foreseeable future. In addition, we anticipate that cash generated from operations, without repatriating earnings from our non-U.S. subsidiaries, and our credit facilities will be sufficient to satisfy our obligations in the U.S.</w:t>
      </w:r>
    </w:p>
    <w:p>
      <w:pPr>
        <w:spacing w:after="0" w:line="206"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In July 2025 we amended and extended our credit facility to mature in July 2030, to increase the revolving limit from $600 million to $725 million and replaced the $128.1 million term loan with a new $100.0 million term loan. The sub-limit for letters of credit was increased from $300 million to $350 million, which includes up to $300 million for borrowings in certain foreign currencies. As of June 30, 2026, there were no borrowings under the revolving credit facility, $95.8 million outstanding under the letters of credit sub-facility, and $92.5 million outstanding under the term loan. As of June 30, 2026, the amount available to borrow under the credit facility was $629.2 million. See Note 8 to the consolidated financial statements for further discussion.</w:t>
      </w:r>
    </w:p>
    <w:p>
      <w:pPr>
        <w:spacing w:after="0" w:line="200"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Provided by Operating Activities. </w:t>
      </w:r>
      <w:r>
        <w:rPr>
          <w:rFonts w:ascii="Times New Roman" w:cs="Times New Roman" w:eastAsia="Times New Roman" w:hAnsi="Times New Roman"/>
          <w:sz w:val="20"/>
          <w:szCs w:val="20"/>
          <w:color w:val="auto"/>
        </w:rPr>
        <w:t>Cash flows from operating activities can fluctuate significantly from period to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changes in net income, adjusted for non-cash items, and working capital. During fiscal 2026, cash provided by operations was $275.9 million compared to cash provided by operations of $97.6 million in the prior fiscal year. The net increase in cash flows from operating activities was due primarily to favorable changes in net working capital, largely from lower accounts receivable, an increase in deferred revenue and other liabilities, as well as higher net income compared to the same prior-year period. These favorable changes were partially offset by unfavorable fluctuations in accounts payable, advances from customers, inventory and prepaid expenses and other assets.</w:t>
      </w:r>
    </w:p>
    <w:p>
      <w:pPr>
        <w:spacing w:after="0" w:line="199"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Used in Investing Activities. </w:t>
      </w:r>
      <w:r>
        <w:rPr>
          <w:rFonts w:ascii="Times New Roman" w:cs="Times New Roman" w:eastAsia="Times New Roman" w:hAnsi="Times New Roman"/>
          <w:sz w:val="20"/>
          <w:szCs w:val="20"/>
          <w:color w:val="auto"/>
        </w:rPr>
        <w:t>Net cash used in investing activities was $68.3 million during fiscal 2026 as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$117.9 million used during the prior year. The decrease in cash used in investing activities was primarily due to lower cash paid for the acquisition of businesses, which was $26.3 million during fiscal 2026 compared to $76.7 million in the prior fiscal year. This favorable impact was partially offset by increased capital expenditures of $ 30.6 million in fiscal 2026 compared to $23.8 million in the prior fiscal year. In addition, we received proceeds from the sale of property and equipment of $6.5 million in fiscal 2026 compared to $0.3 million in the same prior-year period.</w:t>
      </w:r>
    </w:p>
    <w:p>
      <w:pPr>
        <w:spacing w:after="0" w:line="200"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Provided by Financing Activities. </w:t>
      </w:r>
      <w:r>
        <w:rPr>
          <w:rFonts w:ascii="Times New Roman" w:cs="Times New Roman" w:eastAsia="Times New Roman" w:hAnsi="Times New Roman"/>
          <w:sz w:val="20"/>
          <w:szCs w:val="20"/>
          <w:color w:val="auto"/>
        </w:rPr>
        <w:t>Net cash provided by financing activities was $46.7 million during fiscal 2026,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$30.8 million during the prior fiscal year. The increase in cash flows from financing activities was primarily due to net proceeds of $562.9 million from issuance of the 2031 Notes, partially offset by (1) net repayment of $178.0 million on our revolving credit facility and (2) the repurchase of common shares of $271.9 million. This is compared to net proceeds in fiscal 2025 of $340.6 million from issuance of the 2029 Notes, partially offset by (1) net repayment of $228.0 million on our revolving credit facility and (2) repurchases of common shares for an aggregate of $80.4 million in the same prior-year period. In connection with the July 2025 amendment and extension of our revolving credit facility, we replaced the $128.1 million term loan with a new $100.0 million term</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1349" w:right="540" w:bottom="0" w:gutter="0" w:footer="0" w:header="0"/>
          <w:type w:val="continuous"/>
        </w:sectPr>
      </w:pPr>
    </w:p>
    <w:bookmarkStart w:id="58" w:name="page59"/>
    <w:bookmarkEnd w:id="58"/>
    <w:p>
      <w:pPr>
        <w:jc w:val="both"/>
        <w:spacing w:after="0" w:line="278" w:lineRule="auto"/>
        <w:rPr>
          <w:sz w:val="20"/>
          <w:szCs w:val="20"/>
          <w:color w:val="auto"/>
        </w:rPr>
      </w:pPr>
      <w:r>
        <w:rPr>
          <w:rFonts w:ascii="Times New Roman" w:cs="Times New Roman" w:eastAsia="Times New Roman" w:hAnsi="Times New Roman"/>
          <w:sz w:val="20"/>
          <w:szCs w:val="20"/>
          <w:color w:val="auto"/>
        </w:rPr>
        <w:t>loan. Taxes paid related to net share settlement of equity awards were $36.3 million during fiscal 2026 compared to $22.6 million in the same prior-year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Cash Requirements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material cash requirements include the following contractual and other obligations.</w:t>
      </w:r>
    </w:p>
    <w:p>
      <w:pPr>
        <w:spacing w:after="0" w:line="200" w:lineRule="exact"/>
        <w:rPr>
          <w:sz w:val="20"/>
          <w:szCs w:val="20"/>
          <w:color w:val="auto"/>
        </w:rPr>
      </w:pPr>
    </w:p>
    <w:p>
      <w:pPr>
        <w:jc w:val="both"/>
        <w:ind w:firstLine="721"/>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Borrowings. </w:t>
      </w:r>
      <w:r>
        <w:rPr>
          <w:rFonts w:ascii="Times New Roman" w:cs="Times New Roman" w:eastAsia="Times New Roman" w:hAnsi="Times New Roman"/>
          <w:sz w:val="19"/>
          <w:szCs w:val="19"/>
          <w:color w:val="auto"/>
        </w:rPr>
        <w:t>Outstanding debt totaled $1,001.0 million at June 30, 2026, an increase of $351.4 million from $649.6 million 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June 30, 2025. This increase was due primarily to proceeds from the 2031 Notes, partially offset by repayment of outstanding revolver borrowings and net reduction in the term loan associated with our credit facility. Contractual debt maturities of $2.5 million will be payable within the next 12 months. As of June 30, 2026, we were in compliance with all financial covenants under our various borrowing agreements. See Note 8 to the consolidated financial statements for further discussion, including future contractual maturities and potential cash settlement upon conversion or redemption of the 2029 Notes and 2031 Notes. We anticipate that cash generated from our operations, existing cash borrowing arrangements and future access to capital markets should be sufficient to meet our cash requirements for at least the next 12 months. However, our future capital requirements will depend on many factors, including future business acquisitions, capital expenditures, litigation, stock repurchases and levels of research and development spending, among other factors. The adequacy of available funds will depend on many factors, including the success of our businesses in generating cash, continued compliance with financial covenants contained in our credit facility and the health of capital markets in general, among other factors.</w:t>
      </w:r>
    </w:p>
    <w:p>
      <w:pPr>
        <w:spacing w:after="0" w:line="143"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have lease arrangements for certain facilities and equipment under various operating lease agreements. As of June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30, 2026, we had lease payment obligations of $48.8 million, with $13.1 million payable within the next 12 months.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Held by Foreign Subsidiaries</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cash and cash equivalents totaled $359.8 million at June 30, 2026. Of this amount, approximately 23% was held by our foreign subsidiaries and subject to repatriation tax considerations. These foreign funds were held primarily by our subsidiaries in India, United Kingdom, Singapore, Canada, and Malaysia.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September 2022, our Board of Directors increased to a total of 2,000,000 shares the maximum number of shares authorized under the stock repurchase program. This program does not expire unless our Board of Directors acts to terminate the program. During fiscal 2026, we repurchased 1,111,825 shares of our common stock. As of June 30, 2026, 78,731 shares remained available for repurchase.</w:t>
      </w:r>
    </w:p>
    <w:p>
      <w:pPr>
        <w:spacing w:after="0" w:line="15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On August 20, 2026, we announced that our Board of Directors has approved an additional 1,000,000 shares for repurchase under our stock repurchase program, increasing the total remaining authorization to 1,078,731 shares.</w:t>
      </w:r>
    </w:p>
    <w:p>
      <w:pPr>
        <w:spacing w:after="0" w:line="12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timing and actual numbers of shares purchased depends on a variety of factors, including stock price, general business and market conditions and other investment opportunities. Repurchases may be made from time to time under the program through open-market purchases or privately- negotiated transactions at our discretion. Upon repurchase, the shares are restored to the status of authorized but unissued shares, and we record them as a reduction in the number of shares of common stock issued and outstanding in our consolidated financial statements.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349" w:right="540" w:bottom="0" w:gutter="0" w:footer="0" w:header="0"/>
          <w:type w:val="continuous"/>
        </w:sectPr>
      </w:pPr>
    </w:p>
    <w:bookmarkStart w:id="59" w:name="page60"/>
    <w:bookmarkEnd w:id="59"/>
    <w:p>
      <w:pPr>
        <w:ind w:right="2640"/>
        <w:spacing w:after="0" w:line="450"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Market Risk</w:t>
      </w:r>
    </w:p>
    <w:p>
      <w:pPr>
        <w:spacing w:after="0" w:line="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exposed to certain market risks, which are inherent in our financial instruments and arise from transactions entered into in the normal course of business. We may enter into derivative financial instrument transactions in order to manage or reduce market risk in connection with specific foreign currency denominated transactions. We do not enter into derivative financial instrument transactions for speculative purposes.</w:t>
      </w:r>
    </w:p>
    <w:p>
      <w:pPr>
        <w:spacing w:after="0" w:line="154"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We are subject to interest rate risk on our borrowings under our bank lines of credit. Consequently, our interest expense fluctuates with changes in the general level of these interest rates as we borrow under the credit facility. We utilize an interest rate swap agreement to improve the predictability of cash flows from interest payments related to our variable, Secured Overnight Financing Rate (“SOFR”) based debt. The interest rate swap matures in December 2026. As of June 30, 2025 and June 30, 2026, the notional amount of the interest rate swap hedge derivative instrument was $175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Importance of International Markets</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International markets provide us with significant growth opportunities. Our financial results in future periods could, however, be adversely affected by periodic economic downturns in different regions of the world, changes in trade policies or tariffs, civil or military conflict and other political instability. We monitor economic and currency conditions around the world to evaluate whether there may be any significant effect on our international sales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244"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Our international operations are subject to certain opportunities and risks, including from foreign currency fluctuations and governmental actions. We conduct business in more than 36 countries. We closely monitor our operations in each country in which we do business and seek to adopt appropriate strategies that are responsive to changing economic and political environments, and to fluctuations in foreign currencies. Weaknesses in the currencies of some of the countries in which we do business are often offset by strengths in other currencies. Foreign currency financial statements are translated into U.S. dollars at period- end rates, except that revenues, costs and expenses are translated at average rates during the reporting period. We include gains and losses resulting from foreign currency transactions in income, while we exclude those resulting from translation of financial statements from income and include them as a component of accumulated other comprehensive loss. Transaction gains and losses, which were included in our consolidated statement of operations, amounted to a net loss of approximately $5.1 million, $12.7 million, and $1.6 million for the fiscal years ended June 30, 2024, 2025 and 2026, respectively. A 10% appreciation of the U.S. dollar relative to the local currency exchange rates would have resulted in a net increase in our operating income of approximately $19.9 million in fiscal 2026. Conversely, a 10% depreciation of the U.S. dollar relative to the local currency exchange rates would have resulted in a net decrease in our operating income of approximately $19.9 million in fiscal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44"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9"/>
          <w:szCs w:val="19"/>
          <w:color w:val="auto"/>
        </w:rPr>
        <w:t>Heightened levels of inflation continue to present risk for us. We have experienced impacts to our materials and manufacturing costs and labor rates, and suppliers have signaled inflation-related cost pressures, which could flow through to our costs and pricing. If inflation remains at current levels for an extended period, or increases, and we are unable to successfully mitigate the impact, our costs could increase, resulting in pressure on our profits and margins. In addition, inflation and the increases in the cost of borrowing from rising interest rates could constrain the overall purchasing power of our customers for our products and services. Rising interest rates also will increase our borrowing costs. We remain committed to our ongoing efforts to increase the efficiency of our operations and improve the cost competitiveness of our products and services, which may, in part, offset cost increases from inflation.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347" w:right="5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scheduled principal maturity and estimated value of our long-term debt exposure for each of the fiscal years set forth below as of June 30, 2026 were as follows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2032 and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6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2028</w:t>
            </w:r>
          </w:p>
        </w:tc>
        <w:tc>
          <w:tcPr>
            <w:tcW w:w="160" w:type="dxa"/>
            <w:vAlign w:val="bottom"/>
            <w:tcBorders>
              <w:bottom w:val="single" w:sz="8" w:color="E6E6E6"/>
            </w:tcBorders>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2029</w:t>
            </w:r>
          </w:p>
        </w:tc>
        <w:tc>
          <w:tcPr>
            <w:tcW w:w="16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6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2031</w:t>
            </w:r>
          </w:p>
        </w:tc>
        <w:tc>
          <w:tcPr>
            <w:tcW w:w="160" w:type="dxa"/>
            <w:vAlign w:val="bottom"/>
            <w:tcBorders>
              <w:bottom w:val="single" w:sz="8" w:color="E6E6E6"/>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16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E6E6E6"/>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020" w:type="dxa"/>
            <w:vAlign w:val="bottom"/>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Term loan at 4.86% annual interest (1)</w:t>
            </w:r>
          </w:p>
        </w:tc>
        <w:tc>
          <w:tcPr>
            <w:tcW w:w="12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2,500</w:t>
            </w:r>
          </w:p>
        </w:tc>
        <w:tc>
          <w:tcPr>
            <w:tcW w:w="280" w:type="dxa"/>
            <w:vAlign w:val="bottom"/>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E6E6E6"/>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5,000</w:t>
            </w:r>
          </w:p>
        </w:tc>
        <w:tc>
          <w:tcPr>
            <w:tcW w:w="280" w:type="dxa"/>
            <w:vAlign w:val="bottom"/>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5,000</w:t>
            </w:r>
          </w:p>
        </w:tc>
        <w:tc>
          <w:tcPr>
            <w:tcW w:w="280" w:type="dxa"/>
            <w:vAlign w:val="bottom"/>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75,000</w:t>
            </w:r>
          </w:p>
        </w:tc>
        <w:tc>
          <w:tcPr>
            <w:tcW w:w="460" w:type="dxa"/>
            <w:vAlign w:val="bottom"/>
            <w:gridSpan w:val="2"/>
            <w:shd w:val="clear" w:color="auto" w:fill="E6E6E6"/>
          </w:tcPr>
          <w:p>
            <w:pPr>
              <w:ind w:left="1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92,500</w:t>
            </w:r>
          </w:p>
        </w:tc>
        <w:tc>
          <w:tcPr>
            <w:tcW w:w="280" w:type="dxa"/>
            <w:vAlign w:val="bottom"/>
            <w:gridSpan w:val="2"/>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2029 Notes at 2.25% annual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467,505</w:t>
            </w:r>
          </w:p>
        </w:tc>
        <w:tc>
          <w:tcPr>
            <w:tcW w:w="0" w:type="dxa"/>
            <w:vAlign w:val="bottom"/>
          </w:tcPr>
          <w:p>
            <w:pPr>
              <w:spacing w:after="0"/>
              <w:rPr>
                <w:sz w:val="1"/>
                <w:szCs w:val="1"/>
                <w:color w:val="auto"/>
              </w:rPr>
            </w:pPr>
          </w:p>
        </w:tc>
      </w:tr>
      <w:tr>
        <w:trPr>
          <w:trHeight w:val="206"/>
        </w:trPr>
        <w:tc>
          <w:tcPr>
            <w:tcW w:w="40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2031 Notes at 0.50% annual interest</w:t>
            </w:r>
          </w:p>
        </w:tc>
        <w:tc>
          <w:tcPr>
            <w:tcW w:w="120" w:type="dxa"/>
            <w:vAlign w:val="bottom"/>
            <w:shd w:val="clear" w:color="auto" w:fill="E6E6E6"/>
          </w:tcPr>
          <w:p>
            <w:pPr>
              <w:spacing w:after="0"/>
              <w:rPr>
                <w:sz w:val="17"/>
                <w:szCs w:val="17"/>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575,000</w:t>
            </w:r>
          </w:p>
        </w:tc>
        <w:tc>
          <w:tcPr>
            <w:tcW w:w="46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575,000</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537,913</w:t>
            </w:r>
          </w:p>
        </w:tc>
        <w:tc>
          <w:tcPr>
            <w:tcW w:w="0" w:type="dxa"/>
            <w:vAlign w:val="bottom"/>
          </w:tcPr>
          <w:p>
            <w:pPr>
              <w:spacing w:after="0"/>
              <w:rPr>
                <w:sz w:val="1"/>
                <w:szCs w:val="1"/>
                <w:color w:val="auto"/>
              </w:rPr>
            </w:pPr>
          </w:p>
        </w:tc>
      </w:tr>
      <w:tr>
        <w:trPr>
          <w:trHeight w:val="24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4.6% annual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-565785</wp:posOffset>
            </wp:positionV>
            <wp:extent cx="40640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5">
                      <a:extLst>
                        <a:ext uri="{28A0092B-C50C-407E-A947-70E740481C1C}"/>
                      </a:extLst>
                    </a:blip>
                    <a:srcRect/>
                    <a:stretch>
                      <a:fillRect/>
                    </a:stretch>
                  </pic:blipFill>
                  <pic:spPr bwMode="auto">
                    <a:xfrm>
                      <a:off x="0" y="0"/>
                      <a:ext cx="406400" cy="16319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-295910</wp:posOffset>
            </wp:positionV>
            <wp:extent cx="406400" cy="156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6">
                      <a:extLst>
                        <a:ext uri="{28A0092B-C50C-407E-A947-70E740481C1C}"/>
                      </a:extLst>
                    </a:blip>
                    <a:srcRect/>
                    <a:stretch>
                      <a:fillRect/>
                    </a:stretch>
                  </pic:blipFill>
                  <pic:spPr bwMode="auto">
                    <a:xfrm>
                      <a:off x="0" y="0"/>
                      <a:ext cx="406400" cy="1562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85090</wp:posOffset>
                </wp:positionV>
                <wp:extent cx="171386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7pt" to="134.9pt,6.7pt" o:allowincell="f" strokecolor="#000000" strokeweight="1.02pt"/>
            </w:pict>
          </mc:Fallback>
        </mc:AlternateContent>
      </w:r>
    </w:p>
    <w:p>
      <w:pPr>
        <w:spacing w:after="0" w:line="157" w:lineRule="exact"/>
        <w:rPr>
          <w:sz w:val="20"/>
          <w:szCs w:val="20"/>
          <w:color w:val="auto"/>
        </w:rPr>
      </w:pPr>
    </w:p>
    <w:p>
      <w:pPr>
        <w:ind w:left="360" w:hanging="360"/>
        <w:spacing w:after="0" w:line="277"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loan bears interest at SOFR plus a margin which can range from 1.0% to 1.75% based on our consolidated net leverage ratio as defined in the 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make reference here to the Index to Consolidated Financial Statements that appears on page F-1 of this report. The Report of Independent Registered Public Accounting Firm from Grant Thornton LLP, the Consolidated Financial Statements, the Notes to Consolidated Financial Statements, and Supplementary Data—Unaudited Quarterly Results listed in the Index to Consolidated Financial Statements, which appear beginning on page F-2 of this report, are incorporated by reference into this Item 8.</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3"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As of June 30, 2026,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Annual Report on Form 10-K,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such term is defined in Rule 13a-15(f) or 15d-15(f) of the Exchange Act) for the Company. Under the supervision and with the participation of management, including our Chief Executive Officer and Chief Financial Officer, we conducted an evaluation of the effectiveness of our internal control over financial reporting based on the framework and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in 2013. Our assessment of, and conclusion on, the effectiveness of internal control over financial reporting did not include the internal controls of a wholly-owned subsidiary acquired in June 2026, which is included in our consolidated financial statements since the date of acquisition, whose financial statements reflect total assets and net revenues constituting 1.5% and less than 0.1%, respectively, of the related consolidated financial statement amounts as of and for the year ended June 30, 2026. Based on that evaluation, management concluded that our internal control over financial reporting was effective as of June 30, 2026.</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800"/>
          </w:cols>
          <w:pgMar w:left="540" w:top="1347" w:right="540" w:bottom="0" w:gutter="0" w:footer="0" w:header="0"/>
          <w:type w:val="continuous"/>
        </w:sectPr>
      </w:pPr>
    </w:p>
    <w:bookmarkStart w:id="61" w:name="page62"/>
    <w:bookmarkEnd w:id="61"/>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June 30, 2026 has been audited by Grant Thornton LLP, an independent registered public accounting firm, as stated in its report, which is included in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fourth quarter of fiscal 2026 that have materially affected, or are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During the quarter ended June 30, 2026, none of our directors or Section 16 officers adopted, modified or terminated a Rule 10b5 - 1 trading arrangement or non - Rule 10b5 - 1 trading arrangement, as those terms are defined in Regulation S - K, Item 408.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1349" w:right="54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Item 10 is incorporated by reference from our definitive proxy statement for our annual stockholders’ meeting, presently scheduled to be held in December 2026.</w:t>
      </w:r>
    </w:p>
    <w:p>
      <w:pPr>
        <w:spacing w:after="0" w:line="16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have adopted a Code of Ethics and Conduct that applies to all directors, officers and employees. The Code of Ethics and Conduct is available on our website at www.osi-systems.com under the Investor Relations - Corporate Governance section.</w:t>
      </w:r>
    </w:p>
    <w:p>
      <w:pPr>
        <w:spacing w:after="0" w:line="16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also adopted the OSI Systems, Inc. Insider Trading Policy that governs the purchase and sale or other dispositions of the Company’s securities by directors, officers and employees that is designed to promote compliance with insider trading laws, rules and regulations and any listing standards applicable to the Company. A copy of the OSI Systems, Inc. Insider Trading Policy is filed as Exhibit 19.1 to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Item 11 is incorporated by reference from our definitive proxy statement for our annual stockholders’ meeting, presently scheduled to be held in December 2026.</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Item 12 is incorporated by reference from our definitive proxy statement for our annual stockholders’ meeting, presently scheduled to be held in December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Item 13 is incorporated by reference from our definitive proxy statement for our annual stockholders’ meeting, presently scheduled to be held in December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14 is incorporated by reference from our definitive proxy statement for our annual stockholders’ meeting, presently scheduled to be held in December 2026.</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1347" w:right="54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4" w:lineRule="exact"/>
        <w:rPr>
          <w:sz w:val="20"/>
          <w:szCs w:val="20"/>
          <w:color w:val="auto"/>
        </w:rPr>
      </w:pPr>
    </w:p>
    <w:p>
      <w:pPr>
        <w:ind w:left="1440" w:hanging="720"/>
        <w:spacing w:after="0"/>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40" w:lineRule="exact"/>
        <w:rPr>
          <w:rFonts w:ascii="Times New Roman" w:cs="Times New Roman" w:eastAsia="Times New Roman" w:hAnsi="Times New Roman"/>
          <w:sz w:val="20"/>
          <w:szCs w:val="20"/>
          <w:color w:val="auto"/>
        </w:rPr>
      </w:pPr>
    </w:p>
    <w:p>
      <w:pPr>
        <w:jc w:val="both"/>
        <w:ind w:left="1800" w:hanging="360"/>
        <w:spacing w:after="0" w:line="265" w:lineRule="auto"/>
        <w:tabs>
          <w:tab w:leader="none" w:pos="18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Statements. </w:t>
      </w:r>
      <w:r>
        <w:rPr>
          <w:rFonts w:ascii="Times New Roman" w:cs="Times New Roman" w:eastAsia="Times New Roman" w:hAnsi="Times New Roman"/>
          <w:sz w:val="20"/>
          <w:szCs w:val="20"/>
          <w:color w:val="auto"/>
        </w:rPr>
        <w:t>Please see the accompanying Index to Consolidated Financial Statements, which appears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page F-1 of the report. The Report of Independent Registered Public Accounting Firm, the Consolidated Financial Statements and the Notes to Consolidated Financial Statements listed in the Index to Consolidated Financial Statements, which appear beginning on page F-2 of this report, are incorporated by reference into Item 8 above.</w:t>
      </w:r>
    </w:p>
    <w:p>
      <w:pPr>
        <w:spacing w:after="0" w:line="197" w:lineRule="exact"/>
        <w:rPr>
          <w:rFonts w:ascii="Times New Roman" w:cs="Times New Roman" w:eastAsia="Times New Roman" w:hAnsi="Times New Roman"/>
          <w:sz w:val="20"/>
          <w:szCs w:val="20"/>
          <w:color w:val="auto"/>
        </w:rPr>
      </w:pPr>
    </w:p>
    <w:p>
      <w:pPr>
        <w:ind w:left="1800" w:hanging="360"/>
        <w:spacing w:after="0"/>
        <w:tabs>
          <w:tab w:leader="none" w:pos="18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Supplementary Data—Unaudited Quarterly Results</w:t>
      </w:r>
    </w:p>
    <w:p>
      <w:pPr>
        <w:spacing w:after="0" w:line="239" w:lineRule="exact"/>
        <w:rPr>
          <w:sz w:val="20"/>
          <w:szCs w:val="20"/>
          <w:color w:val="auto"/>
        </w:rPr>
      </w:pPr>
    </w:p>
    <w:p>
      <w:pPr>
        <w:ind w:left="720" w:firstLine="720"/>
        <w:spacing w:after="0" w:line="278" w:lineRule="auto"/>
        <w:rPr>
          <w:sz w:val="20"/>
          <w:szCs w:val="20"/>
          <w:color w:val="auto"/>
        </w:rPr>
      </w:pPr>
      <w:r>
        <w:rPr>
          <w:rFonts w:ascii="Times New Roman" w:cs="Times New Roman" w:eastAsia="Times New Roman" w:hAnsi="Times New Roman"/>
          <w:sz w:val="20"/>
          <w:szCs w:val="20"/>
          <w:color w:val="auto"/>
        </w:rPr>
        <w:t>No other financial statement schedules are presented as the required information is either not applicable or included in the Consolidated Financial Statements or Notes thereto.</w:t>
      </w:r>
    </w:p>
    <w:p>
      <w:pPr>
        <w:spacing w:after="0" w:line="16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xml:space="preserve"> Reference is made to item 15(b) below.</w:t>
      </w:r>
    </w:p>
    <w:p>
      <w:pPr>
        <w:spacing w:after="0" w:line="255" w:lineRule="exact"/>
        <w:rPr>
          <w:sz w:val="20"/>
          <w:szCs w:val="20"/>
          <w:color w:val="auto"/>
        </w:rPr>
      </w:pPr>
    </w:p>
    <w:p>
      <w:pPr>
        <w:ind w:left="1440" w:hanging="720"/>
        <w:spacing w:after="0" w:line="293" w:lineRule="auto"/>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Exhibits. </w:t>
      </w:r>
      <w:r>
        <w:rPr>
          <w:rFonts w:ascii="Times New Roman" w:cs="Times New Roman" w:eastAsia="Times New Roman" w:hAnsi="Times New Roman"/>
          <w:sz w:val="20"/>
          <w:szCs w:val="20"/>
          <w:color w:val="auto"/>
        </w:rPr>
        <w:t>The exhibits listed on the accompanying Exhibit Index immediately preceding the signature page are filed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part of, or are incorporated by reference into, this report.</w:t>
      </w:r>
    </w:p>
    <w:p>
      <w:pPr>
        <w:spacing w:after="0" w:line="168" w:lineRule="exact"/>
        <w:rPr>
          <w:rFonts w:ascii="Times New Roman" w:cs="Times New Roman" w:eastAsia="Times New Roman" w:hAnsi="Times New Roman"/>
          <w:sz w:val="20"/>
          <w:szCs w:val="20"/>
          <w:color w:val="auto"/>
        </w:rPr>
      </w:pPr>
    </w:p>
    <w:p>
      <w:pPr>
        <w:ind w:left="1440" w:hanging="719"/>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Statement Schedules. </w:t>
      </w:r>
      <w:r>
        <w:rPr>
          <w:rFonts w:ascii="Times New Roman" w:cs="Times New Roman" w:eastAsia="Times New Roman" w:hAnsi="Times New Roman"/>
          <w:sz w:val="20"/>
          <w:szCs w:val="20"/>
          <w:color w:val="auto"/>
        </w:rPr>
        <w:t>Reference is made to Item 15(a)(2)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1347" w:right="540"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75"/>
        </w:trPr>
        <w:tc>
          <w:tcPr>
            <w:tcW w:w="9780" w:type="dxa"/>
            <w:vAlign w:val="bottom"/>
          </w:tcPr>
          <w:p>
            <w:pPr>
              <w:ind w:left="4480"/>
              <w:spacing w:after="0"/>
              <w:rPr>
                <w:sz w:val="20"/>
                <w:szCs w:val="20"/>
                <w:color w:val="auto"/>
              </w:rPr>
            </w:pPr>
            <w:r>
              <w:rPr>
                <w:rFonts w:ascii="Times New Roman" w:cs="Times New Roman" w:eastAsia="Times New Roman" w:hAnsi="Times New Roman"/>
                <w:sz w:val="20"/>
                <w:szCs w:val="20"/>
                <w:b w:val="1"/>
                <w:bCs w:val="1"/>
                <w:color w:val="auto"/>
              </w:rPr>
              <w:t>OSI SYSTEMS, INC.</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978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9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(Grant Thornton LLP, Los Angeles, CA, PCAOB ID: 248)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99"/>
        </w:trPr>
        <w:tc>
          <w:tcPr>
            <w:tcW w:w="9780" w:type="dxa"/>
            <w:vAlign w:val="bottom"/>
            <w:vMerge w:val="continue"/>
          </w:tcPr>
          <w:p>
            <w:pPr>
              <w:spacing w:after="0"/>
              <w:rPr>
                <w:sz w:val="17"/>
                <w:szCs w:val="17"/>
                <w:color w:val="auto"/>
              </w:rPr>
            </w:pPr>
          </w:p>
        </w:tc>
        <w:tc>
          <w:tcPr>
            <w:tcW w:w="10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(Grant Thornton LLP, Los Angeles, CA)</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F-10</w:t>
            </w:r>
          </w:p>
        </w:tc>
        <w:tc>
          <w:tcPr>
            <w:tcW w:w="0" w:type="dxa"/>
            <w:vAlign w:val="bottom"/>
          </w:tcPr>
          <w:p>
            <w:pPr>
              <w:spacing w:after="0"/>
              <w:rPr>
                <w:sz w:val="1"/>
                <w:szCs w:val="1"/>
                <w:color w:val="auto"/>
              </w:rPr>
            </w:pP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F-11</w:t>
            </w:r>
          </w:p>
        </w:tc>
        <w:tc>
          <w:tcPr>
            <w:tcW w:w="0" w:type="dxa"/>
            <w:vAlign w:val="bottom"/>
          </w:tcPr>
          <w:p>
            <w:pPr>
              <w:spacing w:after="0"/>
              <w:rPr>
                <w:sz w:val="1"/>
                <w:szCs w:val="1"/>
                <w:color w:val="auto"/>
              </w:rPr>
            </w:pPr>
          </w:p>
        </w:tc>
      </w:tr>
      <w:tr>
        <w:trPr>
          <w:trHeight w:val="267"/>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Supplementary Data—Unaudited Quarterly Results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800"/>
          </w:cols>
          <w:pgMar w:left="540" w:top="1347" w:right="540" w:bottom="0" w:gutter="0" w:footer="0" w:header="0"/>
          <w:type w:val="continuous"/>
        </w:sectPr>
      </w:pPr>
    </w:p>
    <w:bookmarkStart w:id="65" w:name="page66"/>
    <w:bookmarkEnd w:id="65"/>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OSI Systems,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0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OSI Systems, Inc. (a Delaware corporation) and subsidiaries (the “Company”) as of June 30, 2026 and 2025, the related consolidated statements of operations, comprehensive income, stockholders' equity, and cash flows for each of the three years in the period ended June 30, 2026, and the related notes and financial statement schedule included under Item 15(a) (collectively referred to as the “consolidated financial statements”) . In our opinion, the consolidated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spacing w:after="0" w:line="16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June 30, 2026, based on criteria established in the 2013 </w:t>
      </w:r>
      <w:r>
        <w:rPr>
          <w:rFonts w:ascii="Times New Roman" w:cs="Times New Roman" w:eastAsia="Times New Roman" w:hAnsi="Times New Roman"/>
          <w:sz w:val="20"/>
          <w:szCs w:val="20"/>
          <w:i w:val="1"/>
          <w:iCs w:val="1"/>
          <w:color w:val="auto"/>
        </w:rPr>
        <w:t xml:space="preserve">Internal Control—Integrated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(“COSO”), and our report dated August 21, 2026, expressed an unqualified opinion.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Remaining performance obligations</w:t>
      </w:r>
    </w:p>
    <w:p>
      <w:pPr>
        <w:spacing w:after="0" w:line="20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 discussed in Note 5 to the consolidated financial statements, the Company revised the scope of the disclosure of remaining performance obligations to no longer apply optional disclosure-only exemptions that permit an entity to not disclose information about remaining performance obligations for performance obligations that are part of contracts with an original expected duration of one year or less. This change affects only the scope of the Company’s remaining performance obligation disclosure and does not affect the Company’s revenue recognition, results of operations, or financial position. Management believes this method is preferable because it provides more useful information to users of the financial statements by presenting a more comprehensive measure of remaining performance obligations. Our opinion is not modified with respect to this matter.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800"/>
          </w:cols>
          <w:pgMar w:left="540" w:top="1440" w:right="540"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standalone selling price – Security Segment Product Revenue</w:t>
      </w:r>
    </w:p>
    <w:p>
      <w:pPr>
        <w:spacing w:after="0" w:line="200"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As described in Note 1 to the consolidated financial statements, the Company’s revenue contracts in the security segment may include multiple performance obligations, which are accounted for separately when they are distinct. The Company derives revenues in the security segment mainly from sales of products, installation, project management and training services. The Company allocates the transaction price to the distinct performance obligations on a relative stand-alone selling price basis and recognizes revenue when control is transferred. We identified the determination of the stand-alone selling price related to product revenues in the Security segment as a critical audit matter.</w:t>
      </w:r>
    </w:p>
    <w:p>
      <w:pPr>
        <w:spacing w:after="0" w:line="15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Auditing the Company’s product revenue stand-alone selling price in the security segment was complex due to the subjectivity of the assumptions that were used in developing the stand-alone selling price of distinct performance obligations. Evaluating the appropriateness of these assumptions requires extensive audit effort due to the complexity of these contracts and a high degree of auditor judgment when performing audit procedures and evaluating the results of those procedures.</w:t>
      </w:r>
    </w:p>
    <w:p>
      <w:pPr>
        <w:spacing w:after="0" w:line="15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obtained an understanding, evaluated design and tested the operating effectiveness of internal controls related to the determination of the stand-alone selling prices related to the security segment.</w:t>
      </w:r>
    </w:p>
    <w:p>
      <w:pPr>
        <w:spacing w:after="0" w:line="12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To test management’s determination of stand-alone selling price for each performance obligation, we performed procedures to evaluate the methodology applied. We evaluated the Company’s analysis of stand-alone selling price, including inspecting a sample of executed contracts. For the sample selected we evaluated the contracts to determine the appropriateness of the method used and the underlying data including cost details and margin percentages to estimate the stand-alone selling price.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21, 2026</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800"/>
          </w:cols>
          <w:pgMar w:left="540" w:top="1351" w:right="540" w:bottom="0" w:gutter="0" w:footer="0" w:header="0"/>
          <w:type w:val="continuous"/>
        </w:sectPr>
      </w:pPr>
    </w:p>
    <w:bookmarkStart w:id="67" w:name="page68"/>
    <w:bookmarkEnd w:id="67"/>
    <w:p>
      <w:pPr>
        <w:ind w:left="19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OSI Systems,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OSI Systems, Inc. (a Delaware corporation) and subsidiaries (the “Company”) as of June 30, 2026,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June 30, 2026, based on criteria established in the 2013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Control—Integrated Framework </w:t>
      </w:r>
      <w:r>
        <w:rPr>
          <w:rFonts w:ascii="Times New Roman" w:cs="Times New Roman" w:eastAsia="Times New Roman" w:hAnsi="Times New Roman"/>
          <w:sz w:val="20"/>
          <w:szCs w:val="20"/>
          <w:color w:val="auto"/>
        </w:rPr>
        <w:t>issued by COSO.</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June 30, 2026, and our report dated August 21, 2026,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04"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ind w:firstLine="721"/>
        <w:spacing w:after="0" w:line="265" w:lineRule="auto"/>
        <w:rPr>
          <w:sz w:val="20"/>
          <w:szCs w:val="20"/>
          <w:color w:val="auto"/>
        </w:rPr>
      </w:pPr>
      <w:r>
        <w:rPr>
          <w:rFonts w:ascii="Times New Roman" w:cs="Times New Roman" w:eastAsia="Times New Roman" w:hAnsi="Times New Roman"/>
          <w:sz w:val="19"/>
          <w:szCs w:val="19"/>
          <w:color w:val="auto"/>
        </w:rPr>
        <w:t>Our audit of, and opinion on, the Company’s internal control over financial reporting does not include the internal control over financial reporting of a recently acquired wholly-owned subsidiary, whose financial statements reflect total assets and net revenues constituting 1.5% and less than 0.1%, respectively, of the related consolidated financial statement amounts as of and for the year ended June 30, 2026. As indicated in Management’s Report, the acquisition occurred during 2026. Management’s assertion of the effectiveness of the Company’s internal control over financial reporting excluded internal control over financial reporting of this entity.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800"/>
          </w:cols>
          <w:pgMar w:left="540" w:top="1347" w:right="54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0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21, 2026</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800"/>
          </w:cols>
          <w:pgMar w:left="540" w:top="1347" w:right="54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amounts and par value)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74"/>
        </w:trPr>
        <w:tc>
          <w:tcPr>
            <w:tcW w:w="76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7660" w:type="dxa"/>
            <w:vAlign w:val="bottom"/>
            <w:shd w:val="clear" w:color="auto" w:fill="E6E6E6"/>
          </w:tcPr>
          <w:p>
            <w:pPr>
              <w:ind w:left="3340"/>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106,405</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359,832</w:t>
            </w: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receivable, net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837,743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764,626</w:t>
            </w:r>
          </w:p>
        </w:tc>
      </w:tr>
      <w:tr>
        <w:trPr>
          <w:trHeight w:val="229"/>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Inventories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407,174</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415,562</w:t>
            </w:r>
          </w:p>
        </w:tc>
      </w:tr>
      <w:tr>
        <w:trPr>
          <w:trHeight w:val="230"/>
        </w:trPr>
        <w:tc>
          <w:tcPr>
            <w:tcW w:w="766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71,539</w:t>
            </w:r>
          </w:p>
        </w:tc>
        <w:tc>
          <w:tcPr>
            <w:tcW w:w="22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71,671</w:t>
            </w:r>
          </w:p>
        </w:tc>
      </w:tr>
      <w:tr>
        <w:trPr>
          <w:trHeight w:val="220"/>
        </w:trPr>
        <w:tc>
          <w:tcPr>
            <w:tcW w:w="7660" w:type="dxa"/>
            <w:vAlign w:val="bottom"/>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1,422,861</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1,611,691</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126,747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129,942</w:t>
            </w:r>
          </w:p>
        </w:tc>
      </w:tr>
      <w:tr>
        <w:trPr>
          <w:trHeight w:val="229"/>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Goodwill</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387,393</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406,677</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183,290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192,355</w:t>
            </w:r>
          </w:p>
        </w:tc>
      </w:tr>
      <w:tr>
        <w:trPr>
          <w:trHeight w:val="230"/>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shd w:val="clear" w:color="auto" w:fill="E6E6E6"/>
          </w:tcPr>
          <w:p>
            <w:pPr>
              <w:spacing w:after="0"/>
              <w:rPr>
                <w:sz w:val="20"/>
                <w:szCs w:val="20"/>
                <w:color w:val="auto"/>
              </w:rPr>
            </w:pPr>
          </w:p>
        </w:tc>
        <w:tc>
          <w:tcPr>
            <w:tcW w:w="360" w:type="dxa"/>
            <w:vAlign w:val="bottom"/>
            <w:tcBorders>
              <w:bottom w:val="single" w:sz="8" w:color="auto"/>
            </w:tcBorders>
            <w:shd w:val="clear" w:color="auto" w:fill="E6E6E6"/>
          </w:tcPr>
          <w:p>
            <w:pPr>
              <w:spacing w:after="0"/>
              <w:rPr>
                <w:sz w:val="20"/>
                <w:szCs w:val="20"/>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120,966</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161,787</w:t>
            </w:r>
          </w:p>
        </w:tc>
      </w:tr>
      <w:tr>
        <w:trPr>
          <w:trHeight w:val="229"/>
        </w:trPr>
        <w:tc>
          <w:tcPr>
            <w:tcW w:w="7660" w:type="dxa"/>
            <w:vAlign w:val="bottom"/>
            <w:tcBorders>
              <w:bottom w:val="single" w:sz="8" w:color="E6E6E6"/>
            </w:tcBorders>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2,241,257</w:t>
            </w:r>
          </w:p>
        </w:tc>
        <w:tc>
          <w:tcPr>
            <w:tcW w:w="2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2,502,452</w:t>
            </w:r>
          </w:p>
        </w:tc>
      </w:tr>
      <w:tr>
        <w:trPr>
          <w:trHeight w:val="230"/>
        </w:trPr>
        <w:tc>
          <w:tcPr>
            <w:tcW w:w="7660" w:type="dxa"/>
            <w:vAlign w:val="bottom"/>
            <w:shd w:val="clear" w:color="auto" w:fill="E6E6E6"/>
          </w:tcPr>
          <w:p>
            <w:pPr>
              <w:ind w:left="15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Bank lines of credit</w:t>
            </w: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178,000</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230"/>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Accounts payable</w:t>
            </w:r>
          </w:p>
        </w:tc>
        <w:tc>
          <w:tcPr>
            <w:tcW w:w="2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205,181</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168,981</w:t>
            </w: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payroll and related expenses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51,819</w:t>
            </w:r>
          </w:p>
        </w:tc>
      </w:tr>
      <w:tr>
        <w:trPr>
          <w:trHeight w:val="229"/>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Advances from customers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68,184</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42,391</w:t>
            </w: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revenue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91,036</w:t>
            </w:r>
          </w:p>
        </w:tc>
      </w:tr>
      <w:tr>
        <w:trPr>
          <w:trHeight w:val="230"/>
        </w:trPr>
        <w:tc>
          <w:tcPr>
            <w:tcW w:w="7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accrued expenses and current liabilities</w:t>
            </w:r>
          </w:p>
        </w:tc>
        <w:tc>
          <w:tcPr>
            <w:tcW w:w="20" w:type="dxa"/>
            <w:vAlign w:val="bottom"/>
            <w:shd w:val="clear" w:color="auto" w:fill="E6E6E6"/>
          </w:tcPr>
          <w:p>
            <w:pPr>
              <w:spacing w:after="0"/>
              <w:rPr>
                <w:sz w:val="20"/>
                <w:szCs w:val="20"/>
                <w:color w:val="auto"/>
              </w:rPr>
            </w:pPr>
          </w:p>
        </w:tc>
        <w:tc>
          <w:tcPr>
            <w:tcW w:w="360" w:type="dxa"/>
            <w:vAlign w:val="bottom"/>
            <w:tcBorders>
              <w:bottom w:val="single" w:sz="8" w:color="auto"/>
            </w:tcBorders>
            <w:shd w:val="clear" w:color="auto" w:fill="E6E6E6"/>
          </w:tcPr>
          <w:p>
            <w:pPr>
              <w:spacing w:after="0"/>
              <w:rPr>
                <w:sz w:val="20"/>
                <w:szCs w:val="20"/>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110,120</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154,377</w:t>
            </w:r>
          </w:p>
        </w:tc>
      </w:tr>
      <w:tr>
        <w:trPr>
          <w:trHeight w:val="220"/>
        </w:trPr>
        <w:tc>
          <w:tcPr>
            <w:tcW w:w="766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696,938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511,135</w:t>
            </w:r>
          </w:p>
        </w:tc>
      </w:tr>
      <w:tr>
        <w:trPr>
          <w:trHeight w:val="229"/>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463,504</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998,518</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5,463</w:t>
            </w:r>
          </w:p>
        </w:tc>
      </w:tr>
      <w:tr>
        <w:trPr>
          <w:trHeight w:val="229"/>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spacing w:after="0"/>
              <w:rPr>
                <w:sz w:val="19"/>
                <w:szCs w:val="19"/>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126,397</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154,375</w:t>
            </w:r>
          </w:p>
        </w:tc>
      </w:tr>
      <w:tr>
        <w:trPr>
          <w:trHeight w:val="220"/>
        </w:trPr>
        <w:tc>
          <w:tcPr>
            <w:tcW w:w="7660" w:type="dxa"/>
            <w:vAlign w:val="bottom"/>
            <w:tcBorders>
              <w:bottom w:val="single" w:sz="8" w:color="E6E6E6"/>
            </w:tcBorders>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1,290,173</w:t>
            </w:r>
          </w:p>
        </w:tc>
        <w:tc>
          <w:tcPr>
            <w:tcW w:w="2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1,669,491</w:t>
            </w:r>
          </w:p>
        </w:tc>
      </w:tr>
      <w:tr>
        <w:trPr>
          <w:trHeight w:val="220"/>
        </w:trPr>
        <w:tc>
          <w:tcPr>
            <w:tcW w:w="76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 (Note 11)</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 shares issued or</w:t>
            </w:r>
          </w:p>
        </w:tc>
        <w:tc>
          <w:tcPr>
            <w:tcW w:w="2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r>
      <w:tr>
        <w:trPr>
          <w:trHeight w:val="229"/>
        </w:trPr>
        <w:tc>
          <w:tcPr>
            <w:tcW w:w="7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outstanding</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1"/>
        </w:trPr>
        <w:tc>
          <w:tcPr>
            <w:tcW w:w="766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Common stock, $0.001 par value—100,000,000 shares authorized; issued and outstanding,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7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16,794,399 and 15,918,066 shares at June 30, 2025 and 2026, respectively</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7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942,254</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852,117</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(20,928)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(19,173)</w:t>
            </w:r>
          </w:p>
        </w:tc>
      </w:tr>
      <w:tr>
        <w:trPr>
          <w:trHeight w:val="220"/>
        </w:trPr>
        <w:tc>
          <w:tcPr>
            <w:tcW w:w="7660" w:type="dxa"/>
            <w:vAlign w:val="bottom"/>
            <w:tcBorders>
              <w:top w:val="single" w:sz="8" w:color="E6E6E6"/>
            </w:tcBorders>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Borders>
              <w:top w:val="single" w:sz="8" w:color="E6E6E6"/>
            </w:tcBorders>
            <w:shd w:val="clear" w:color="auto" w:fill="E6E6E6"/>
          </w:tcPr>
          <w:p>
            <w:pPr>
              <w:spacing w:after="0"/>
              <w:rPr>
                <w:sz w:val="19"/>
                <w:szCs w:val="19"/>
                <w:color w:val="auto"/>
              </w:rPr>
            </w:pPr>
          </w:p>
        </w:tc>
        <w:tc>
          <w:tcPr>
            <w:tcW w:w="360" w:type="dxa"/>
            <w:vAlign w:val="bottom"/>
            <w:tcBorders>
              <w:top w:val="single" w:sz="8" w:color="auto"/>
              <w:bottom w:val="single" w:sz="8" w:color="auto"/>
            </w:tcBorders>
            <w:shd w:val="clear" w:color="auto" w:fill="E6E6E6"/>
          </w:tcPr>
          <w:p>
            <w:pPr>
              <w:spacing w:after="0"/>
              <w:rPr>
                <w:sz w:val="19"/>
                <w:szCs w:val="19"/>
                <w:color w:val="auto"/>
              </w:rPr>
            </w:pPr>
          </w:p>
        </w:tc>
        <w:tc>
          <w:tcPr>
            <w:tcW w:w="118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951,084</w:t>
            </w:r>
          </w:p>
        </w:tc>
        <w:tc>
          <w:tcPr>
            <w:tcW w:w="2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auto"/>
              <w:bottom w:val="single" w:sz="8" w:color="auto"/>
            </w:tcBorders>
            <w:shd w:val="clear" w:color="auto" w:fill="E6E6E6"/>
          </w:tcPr>
          <w:p>
            <w:pPr>
              <w:spacing w:after="0"/>
              <w:rPr>
                <w:sz w:val="19"/>
                <w:szCs w:val="19"/>
                <w:color w:val="auto"/>
              </w:rPr>
            </w:pPr>
          </w:p>
        </w:tc>
        <w:tc>
          <w:tcPr>
            <w:tcW w:w="10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832,961</w:t>
            </w:r>
          </w:p>
        </w:tc>
      </w:tr>
      <w:tr>
        <w:trPr>
          <w:trHeight w:val="230"/>
        </w:trPr>
        <w:tc>
          <w:tcPr>
            <w:tcW w:w="7660" w:type="dxa"/>
            <w:vAlign w:val="bottom"/>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2,241,257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2,502,452</w:t>
            </w: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800"/>
          </w:cols>
          <w:pgMar w:left="540" w:top="1347" w:right="54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74"/>
        </w:trPr>
        <w:tc>
          <w:tcPr>
            <w:tcW w:w="72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726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revenues:</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r>
      <w:tr>
        <w:trPr>
          <w:trHeight w:val="230"/>
        </w:trPr>
        <w:tc>
          <w:tcPr>
            <w:tcW w:w="7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1,207,590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1,323,291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1,344,733</w:t>
            </w:r>
          </w:p>
        </w:tc>
      </w:tr>
      <w:tr>
        <w:trPr>
          <w:trHeight w:val="229"/>
        </w:trPr>
        <w:tc>
          <w:tcPr>
            <w:tcW w:w="72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Services</w:t>
            </w: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331,168</w:t>
            </w:r>
          </w:p>
        </w:tc>
        <w:tc>
          <w:tcPr>
            <w:tcW w:w="20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389,875</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441,251</w:t>
            </w:r>
          </w:p>
        </w:tc>
      </w:tr>
      <w:tr>
        <w:trPr>
          <w:trHeight w:val="220"/>
        </w:trPr>
        <w:tc>
          <w:tcPr>
            <w:tcW w:w="7260" w:type="dxa"/>
            <w:vAlign w:val="bottom"/>
            <w:gridSpan w:val="2"/>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net revenues</w:t>
            </w:r>
          </w:p>
        </w:tc>
        <w:tc>
          <w:tcPr>
            <w:tcW w:w="1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1,538,758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1,713,166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1,785,984</w:t>
            </w:r>
          </w:p>
        </w:tc>
      </w:tr>
      <w:tr>
        <w:trPr>
          <w:trHeight w:val="230"/>
        </w:trPr>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r>
      <w:tr>
        <w:trPr>
          <w:trHeight w:val="229"/>
        </w:trPr>
        <w:tc>
          <w:tcPr>
            <w:tcW w:w="7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Products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908,997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944,797</w:t>
            </w:r>
          </w:p>
        </w:tc>
      </w:tr>
      <w:tr>
        <w:trPr>
          <w:trHeight w:val="230"/>
        </w:trPr>
        <w:tc>
          <w:tcPr>
            <w:tcW w:w="72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Services</w:t>
            </w: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185,954</w:t>
            </w:r>
          </w:p>
        </w:tc>
        <w:tc>
          <w:tcPr>
            <w:tcW w:w="20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216,987</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248,095</w:t>
            </w:r>
          </w:p>
        </w:tc>
      </w:tr>
      <w:tr>
        <w:trPr>
          <w:trHeight w:val="220"/>
        </w:trPr>
        <w:tc>
          <w:tcPr>
            <w:tcW w:w="7260" w:type="dxa"/>
            <w:vAlign w:val="bottom"/>
            <w:tcBorders>
              <w:bottom w:val="single" w:sz="8" w:color="E6E6E6"/>
            </w:tcBorders>
            <w:gridSpan w:val="2"/>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cost of goods sold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1,008,300</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1,125,984</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1,192,892</w:t>
            </w:r>
          </w:p>
        </w:tc>
      </w:tr>
      <w:tr>
        <w:trPr>
          <w:trHeight w:val="220"/>
        </w:trPr>
        <w:tc>
          <w:tcPr>
            <w:tcW w:w="726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530,458</w:t>
            </w:r>
          </w:p>
        </w:tc>
        <w:tc>
          <w:tcPr>
            <w:tcW w:w="20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587,182</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593,092</w:t>
            </w:r>
          </w:p>
        </w:tc>
      </w:tr>
      <w:tr>
        <w:trPr>
          <w:trHeight w:val="220"/>
        </w:trPr>
        <w:tc>
          <w:tcPr>
            <w:tcW w:w="726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2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269,731</w:t>
            </w: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290,879</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278,390</w:t>
            </w:r>
          </w:p>
        </w:tc>
      </w:tr>
      <w:tr>
        <w:trPr>
          <w:trHeight w:val="229"/>
        </w:trPr>
        <w:tc>
          <w:tcPr>
            <w:tcW w:w="7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79,141</w:t>
            </w:r>
          </w:p>
        </w:tc>
      </w:tr>
      <w:tr>
        <w:trPr>
          <w:trHeight w:val="230"/>
        </w:trPr>
        <w:tc>
          <w:tcPr>
            <w:tcW w:w="72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Impairment, restructuring and other charges</w:t>
            </w: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6,391</w:t>
            </w:r>
          </w:p>
        </w:tc>
        <w:tc>
          <w:tcPr>
            <w:tcW w:w="20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16,591</w:t>
            </w:r>
          </w:p>
        </w:tc>
      </w:tr>
      <w:tr>
        <w:trPr>
          <w:trHeight w:val="220"/>
        </w:trPr>
        <w:tc>
          <w:tcPr>
            <w:tcW w:w="7260" w:type="dxa"/>
            <w:vAlign w:val="bottom"/>
            <w:tcBorders>
              <w:bottom w:val="single" w:sz="8" w:color="E6E6E6"/>
            </w:tcBorders>
            <w:gridSpan w:val="2"/>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341,397</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369,658</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374,122</w:t>
            </w:r>
          </w:p>
        </w:tc>
      </w:tr>
      <w:tr>
        <w:trPr>
          <w:trHeight w:val="220"/>
        </w:trPr>
        <w:tc>
          <w:tcPr>
            <w:tcW w:w="726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from operations</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189,061</w:t>
            </w:r>
          </w:p>
        </w:tc>
        <w:tc>
          <w:tcPr>
            <w:tcW w:w="2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217,524</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218,970</w:t>
            </w:r>
          </w:p>
        </w:tc>
      </w:tr>
      <w:tr>
        <w:trPr>
          <w:trHeight w:val="23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other expense, net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(27,847)</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(31,430)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(26,224)</w:t>
            </w:r>
          </w:p>
        </w:tc>
      </w:tr>
      <w:tr>
        <w:trPr>
          <w:trHeight w:val="220"/>
        </w:trPr>
        <w:tc>
          <w:tcPr>
            <w:tcW w:w="726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before income taxes</w:t>
            </w:r>
          </w:p>
        </w:tc>
        <w:tc>
          <w:tcPr>
            <w:tcW w:w="14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161,214</w:t>
            </w:r>
          </w:p>
        </w:tc>
        <w:tc>
          <w:tcPr>
            <w:tcW w:w="20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186,094</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192,746</w:t>
            </w:r>
          </w:p>
        </w:tc>
      </w:tr>
      <w:tr>
        <w:trPr>
          <w:trHeight w:val="229"/>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(33,060)</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(36,457)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(38,035)</w:t>
            </w:r>
          </w:p>
        </w:tc>
      </w:tr>
      <w:tr>
        <w:trPr>
          <w:trHeight w:val="229"/>
        </w:trPr>
        <w:tc>
          <w:tcPr>
            <w:tcW w:w="726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128,154</w:t>
            </w:r>
          </w:p>
        </w:tc>
        <w:tc>
          <w:tcPr>
            <w:tcW w:w="20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149,637</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154,711</w:t>
            </w:r>
          </w:p>
        </w:tc>
      </w:tr>
      <w:tr>
        <w:trPr>
          <w:trHeight w:val="232"/>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9"/>
        </w:trPr>
        <w:tc>
          <w:tcPr>
            <w:tcW w:w="72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Basic</w:t>
            </w: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20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39"/>
        </w:trPr>
        <w:tc>
          <w:tcPr>
            <w:tcW w:w="7260" w:type="dxa"/>
            <w:vAlign w:val="bottom"/>
            <w:tcBorders>
              <w:bottom w:val="single" w:sz="8" w:color="E6E6E6"/>
            </w:tcBorders>
            <w:gridSpan w:val="2"/>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20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w:t>
            </w:r>
          </w:p>
        </w:tc>
      </w:tr>
      <w:tr>
        <w:trPr>
          <w:trHeight w:val="232"/>
        </w:trPr>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Shares used in per share calculation:</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r>
      <w:tr>
        <w:trPr>
          <w:trHeight w:val="239"/>
        </w:trPr>
        <w:tc>
          <w:tcPr>
            <w:tcW w:w="7260" w:type="dxa"/>
            <w:vAlign w:val="bottom"/>
            <w:tcBorders>
              <w:bottom w:val="single" w:sz="8" w:color="E6E6E6"/>
            </w:tcBorders>
            <w:gridSpan w:val="2"/>
          </w:tcPr>
          <w:p>
            <w:pPr>
              <w:ind w:left="120"/>
              <w:spacing w:after="0"/>
              <w:rPr>
                <w:sz w:val="20"/>
                <w:szCs w:val="20"/>
                <w:color w:val="auto"/>
              </w:rPr>
            </w:pPr>
            <w:r>
              <w:rPr>
                <w:rFonts w:ascii="Times New Roman" w:cs="Times New Roman" w:eastAsia="Times New Roman" w:hAnsi="Times New Roman"/>
                <w:sz w:val="20"/>
                <w:szCs w:val="20"/>
                <w:color w:val="auto"/>
              </w:rPr>
              <w:t>Basic</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16,978</w:t>
            </w:r>
          </w:p>
        </w:tc>
        <w:tc>
          <w:tcPr>
            <w:tcW w:w="20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16,760</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16,584</w:t>
            </w:r>
          </w:p>
        </w:tc>
      </w:tr>
      <w:tr>
        <w:trPr>
          <w:trHeight w:val="240"/>
        </w:trPr>
        <w:tc>
          <w:tcPr>
            <w:tcW w:w="72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17,354</w:t>
            </w:r>
          </w:p>
        </w:tc>
        <w:tc>
          <w:tcPr>
            <w:tcW w:w="20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17,178</w:t>
            </w:r>
          </w:p>
        </w:tc>
        <w:tc>
          <w:tcPr>
            <w:tcW w:w="20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17,280</w:t>
            </w: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800"/>
          </w:cols>
          <w:pgMar w:left="540" w:top="1347" w:right="54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4"/>
        </w:trPr>
        <w:tc>
          <w:tcPr>
            <w:tcW w:w="66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E6E6E6"/>
            </w:tcBorders>
          </w:tcPr>
          <w:p>
            <w:pPr>
              <w:spacing w:after="0"/>
              <w:rPr>
                <w:sz w:val="15"/>
                <w:szCs w:val="15"/>
                <w:color w:val="auto"/>
              </w:rPr>
            </w:pPr>
          </w:p>
        </w:tc>
        <w:tc>
          <w:tcPr>
            <w:tcW w:w="18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666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shd w:val="clear" w:color="auto" w:fill="E6E6E6"/>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128,154</w:t>
            </w:r>
          </w:p>
        </w:tc>
        <w:tc>
          <w:tcPr>
            <w:tcW w:w="60" w:type="dxa"/>
            <w:vAlign w:val="bottom"/>
            <w:shd w:val="clear" w:color="auto" w:fill="E6E6E6"/>
          </w:tcPr>
          <w:p>
            <w:pPr>
              <w:spacing w:after="0"/>
              <w:rPr>
                <w:sz w:val="19"/>
                <w:szCs w:val="19"/>
                <w:color w:val="auto"/>
              </w:rPr>
            </w:pPr>
          </w:p>
        </w:tc>
        <w:tc>
          <w:tcPr>
            <w:tcW w:w="480" w:type="dxa"/>
            <w:vAlign w:val="bottom"/>
            <w:gridSpan w:val="3"/>
            <w:shd w:val="clear" w:color="auto" w:fill="E6E6E6"/>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149,637</w:t>
            </w:r>
          </w:p>
        </w:tc>
        <w:tc>
          <w:tcPr>
            <w:tcW w:w="2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154,711</w:t>
            </w: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66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Foreign currency translation adjustment, net of tax</w:t>
            </w: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(2,918)</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3,622</w:t>
            </w:r>
          </w:p>
        </w:tc>
        <w:tc>
          <w:tcPr>
            <w:tcW w:w="2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1,798</w:t>
            </w:r>
          </w:p>
        </w:tc>
      </w:tr>
      <w:tr>
        <w:trPr>
          <w:trHeight w:val="230"/>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net of tax</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(2,514)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20"/>
        </w:trPr>
        <w:tc>
          <w:tcPr>
            <w:tcW w:w="6660" w:type="dxa"/>
            <w:vAlign w:val="bottom"/>
            <w:tcBorders>
              <w:top w:val="single" w:sz="8" w:color="E6E6E6"/>
            </w:tcBorders>
            <w:gridSpan w:val="2"/>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260" w:type="dxa"/>
            <w:vAlign w:val="bottom"/>
            <w:tcBorders>
              <w:top w:val="single" w:sz="8" w:color="auto"/>
              <w:bottom w:val="single" w:sz="8" w:color="auto"/>
            </w:tcBorders>
            <w:shd w:val="clear" w:color="auto" w:fill="E6E6E6"/>
          </w:tcPr>
          <w:p>
            <w:pPr>
              <w:spacing w:after="0"/>
              <w:rPr>
                <w:sz w:val="19"/>
                <w:szCs w:val="19"/>
                <w:color w:val="auto"/>
              </w:rPr>
            </w:pPr>
          </w:p>
        </w:tc>
        <w:tc>
          <w:tcPr>
            <w:tcW w:w="9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(2,409)</w:t>
            </w:r>
          </w:p>
        </w:tc>
        <w:tc>
          <w:tcPr>
            <w:tcW w:w="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auto"/>
              <w:bottom w:val="single" w:sz="8" w:color="auto"/>
            </w:tcBorders>
            <w:shd w:val="clear" w:color="auto" w:fill="E6E6E6"/>
          </w:tcPr>
          <w:p>
            <w:pPr>
              <w:spacing w:after="0"/>
              <w:rPr>
                <w:sz w:val="19"/>
                <w:szCs w:val="19"/>
                <w:color w:val="auto"/>
              </w:rPr>
            </w:pPr>
          </w:p>
        </w:tc>
        <w:tc>
          <w:tcPr>
            <w:tcW w:w="9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1,108</w:t>
            </w:r>
          </w:p>
        </w:tc>
        <w:tc>
          <w:tcPr>
            <w:tcW w:w="2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60" w:type="dxa"/>
            <w:vAlign w:val="bottom"/>
            <w:tcBorders>
              <w:top w:val="single" w:sz="8" w:color="auto"/>
              <w:bottom w:val="single" w:sz="8" w:color="auto"/>
            </w:tcBorders>
            <w:shd w:val="clear" w:color="auto" w:fill="E6E6E6"/>
          </w:tcPr>
          <w:p>
            <w:pPr>
              <w:spacing w:after="0"/>
              <w:rPr>
                <w:sz w:val="19"/>
                <w:szCs w:val="19"/>
                <w:color w:val="auto"/>
              </w:rPr>
            </w:pPr>
          </w:p>
        </w:tc>
        <w:tc>
          <w:tcPr>
            <w:tcW w:w="9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1,755</w:t>
            </w:r>
          </w:p>
        </w:tc>
      </w:tr>
      <w:tr>
        <w:trPr>
          <w:trHeight w:val="230"/>
        </w:trPr>
        <w:tc>
          <w:tcPr>
            <w:tcW w:w="6640" w:type="dxa"/>
            <w:vAlign w:val="bottom"/>
          </w:tcPr>
          <w:p>
            <w:pPr>
              <w:ind w:left="240"/>
              <w:spacing w:after="0" w:line="221" w:lineRule="exact"/>
              <w:rPr>
                <w:sz w:val="20"/>
                <w:szCs w:val="20"/>
                <w:color w:val="auto"/>
              </w:rPr>
            </w:pPr>
            <w:r>
              <w:rPr>
                <w:rFonts w:ascii="Times New Roman" w:cs="Times New Roman" w:eastAsia="Times New Roman" w:hAnsi="Times New Roman"/>
                <w:sz w:val="20"/>
                <w:szCs w:val="20"/>
                <w:color w:val="auto"/>
              </w:rPr>
              <w:t>Comprehensive income</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125,745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150,745</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156,466</w:t>
            </w: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800"/>
          </w:cols>
          <w:pgMar w:left="540" w:top="1347" w:right="54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80" w:type="dxa"/>
            <w:vAlign w:val="bottom"/>
          </w:tcPr>
          <w:p>
            <w:pPr>
              <w:spacing w:after="0"/>
              <w:rPr>
                <w:sz w:val="17"/>
                <w:szCs w:val="17"/>
                <w:color w:val="auto"/>
              </w:rPr>
            </w:pPr>
          </w:p>
        </w:tc>
        <w:tc>
          <w:tcPr>
            <w:tcW w:w="23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080" w:type="dxa"/>
            <w:vAlign w:val="bottom"/>
          </w:tcPr>
          <w:p>
            <w:pPr>
              <w:spacing w:after="0"/>
              <w:rPr>
                <w:sz w:val="13"/>
                <w:szCs w:val="13"/>
                <w:color w:val="auto"/>
              </w:rPr>
            </w:pPr>
          </w:p>
        </w:tc>
        <w:tc>
          <w:tcPr>
            <w:tcW w:w="1200" w:type="dxa"/>
            <w:vAlign w:val="bottom"/>
            <w:tcBorders>
              <w:top w:val="single" w:sz="8" w:color="auto"/>
            </w:tcBorders>
            <w:gridSpan w:val="2"/>
          </w:tcPr>
          <w:p>
            <w:pPr>
              <w:jc w:val="right"/>
              <w:ind w:right="340"/>
              <w:spacing w:after="0" w:line="154"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6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80" w:type="dxa"/>
            <w:vAlign w:val="bottom"/>
            <w:tcBorders>
              <w:bottom w:val="single" w:sz="8" w:color="E6E6E6"/>
            </w:tcBorders>
          </w:tcPr>
          <w:p>
            <w:pPr>
              <w:spacing w:after="0"/>
              <w:rPr>
                <w:sz w:val="17"/>
                <w:szCs w:val="17"/>
                <w:color w:val="auto"/>
              </w:rPr>
            </w:pPr>
          </w:p>
        </w:tc>
        <w:tc>
          <w:tcPr>
            <w:tcW w:w="10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508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 June 30, 2023</w:t>
            </w:r>
          </w:p>
        </w:tc>
        <w:tc>
          <w:tcPr>
            <w:tcW w:w="10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16,755,772</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9,835</w:t>
            </w:r>
          </w:p>
        </w:tc>
        <w:tc>
          <w:tcPr>
            <w:tcW w:w="18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735,957</w:t>
            </w:r>
          </w:p>
        </w:tc>
        <w:tc>
          <w:tcPr>
            <w:tcW w:w="180" w:type="dxa"/>
            <w:vAlign w:val="bottom"/>
            <w:tcBorders>
              <w:right w:val="single" w:sz="8" w:color="E6E6E6"/>
            </w:tcBorders>
            <w:shd w:val="clear" w:color="auto" w:fill="E6E6E6"/>
          </w:tcPr>
          <w:p>
            <w:pPr>
              <w:spacing w:after="0"/>
              <w:rPr>
                <w:sz w:val="19"/>
                <w:szCs w:val="19"/>
                <w:color w:val="auto"/>
              </w:rPr>
            </w:pPr>
          </w:p>
        </w:tc>
        <w:tc>
          <w:tcPr>
            <w:tcW w:w="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right w:val="single" w:sz="8" w:color="E6E6E6"/>
            </w:tcBorders>
            <w:gridSpan w:val="2"/>
            <w:shd w:val="clear" w:color="auto" w:fill="E6E6E6"/>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(19,627)</w:t>
            </w: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726,165</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0" w:type="dxa"/>
            <w:vAlign w:val="bottom"/>
          </w:tcPr>
          <w:p>
            <w:pPr>
              <w:spacing w:after="0"/>
              <w:rPr>
                <w:sz w:val="1"/>
                <w:szCs w:val="1"/>
                <w:color w:val="auto"/>
              </w:rPr>
            </w:pPr>
          </w:p>
        </w:tc>
      </w:tr>
      <w:tr>
        <w:trPr>
          <w:trHeight w:val="230"/>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Vesting of RSUs</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390,375</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0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20"/>
                <w:szCs w:val="20"/>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issued under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0" w:type="dxa"/>
            <w:vAlign w:val="bottom"/>
          </w:tcPr>
          <w:p>
            <w:pPr>
              <w:spacing w:after="0"/>
              <w:rPr>
                <w:sz w:val="1"/>
                <w:szCs w:val="1"/>
                <w:color w:val="auto"/>
              </w:rPr>
            </w:pPr>
          </w:p>
        </w:tc>
      </w:tr>
      <w:tr>
        <w:trPr>
          <w:trHeight w:val="230"/>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28,706</w:t>
            </w:r>
          </w:p>
        </w:tc>
        <w:tc>
          <w:tcPr>
            <w:tcW w:w="18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20"/>
                <w:szCs w:val="20"/>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28,706</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(175,129)</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(20,430)</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(2,881)</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(23,311)</w:t>
            </w:r>
          </w:p>
        </w:tc>
        <w:tc>
          <w:tcPr>
            <w:tcW w:w="0" w:type="dxa"/>
            <w:vAlign w:val="bottom"/>
          </w:tcPr>
          <w:p>
            <w:pPr>
              <w:spacing w:after="0"/>
              <w:rPr>
                <w:sz w:val="1"/>
                <w:szCs w:val="1"/>
                <w:color w:val="auto"/>
              </w:rPr>
            </w:pPr>
          </w:p>
        </w:tc>
      </w:tr>
      <w:tr>
        <w:trPr>
          <w:trHeight w:val="229"/>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income</w:t>
            </w:r>
          </w:p>
        </w:tc>
        <w:tc>
          <w:tcPr>
            <w:tcW w:w="12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100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128,154</w:t>
            </w:r>
          </w:p>
        </w:tc>
        <w:tc>
          <w:tcPr>
            <w:tcW w:w="180" w:type="dxa"/>
            <w:vAlign w:val="bottom"/>
            <w:tcBorders>
              <w:right w:val="single" w:sz="8" w:color="E6E6E6"/>
            </w:tcBorders>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128,154</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(2,409)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w:t>
            </w:r>
          </w:p>
        </w:tc>
        <w:tc>
          <w:tcPr>
            <w:tcW w:w="0" w:type="dxa"/>
            <w:vAlign w:val="bottom"/>
          </w:tcPr>
          <w:p>
            <w:pPr>
              <w:spacing w:after="0"/>
              <w:rPr>
                <w:sz w:val="1"/>
                <w:szCs w:val="1"/>
                <w:color w:val="auto"/>
              </w:rPr>
            </w:pPr>
          </w:p>
        </w:tc>
      </w:tr>
      <w:tr>
        <w:trPr>
          <w:trHeight w:val="20"/>
        </w:trPr>
        <w:tc>
          <w:tcPr>
            <w:tcW w:w="508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 June 30, 2024</w:t>
            </w: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tcBorders>
              <w:right w:val="single" w:sz="8" w:color="E6E6E6"/>
            </w:tcBorders>
            <w:vMerge w:val="continue"/>
            <w:shd w:val="clear" w:color="auto" w:fill="E6E6E6"/>
          </w:tcPr>
          <w:p>
            <w:pPr>
              <w:spacing w:after="0"/>
              <w:rPr>
                <w:sz w:val="19"/>
                <w:szCs w:val="19"/>
                <w:color w:val="auto"/>
              </w:rPr>
            </w:pPr>
          </w:p>
        </w:tc>
        <w:tc>
          <w:tcPr>
            <w:tcW w:w="10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17,055,497</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24,289</w:t>
            </w:r>
          </w:p>
        </w:tc>
        <w:tc>
          <w:tcPr>
            <w:tcW w:w="18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861,230</w:t>
            </w:r>
          </w:p>
        </w:tc>
        <w:tc>
          <w:tcPr>
            <w:tcW w:w="180" w:type="dxa"/>
            <w:vAlign w:val="bottom"/>
            <w:tcBorders>
              <w:right w:val="single" w:sz="8" w:color="E6E6E6"/>
            </w:tcBorders>
            <w:shd w:val="clear" w:color="auto" w:fill="E6E6E6"/>
          </w:tcPr>
          <w:p>
            <w:pPr>
              <w:spacing w:after="0"/>
              <w:rPr>
                <w:sz w:val="19"/>
                <w:szCs w:val="19"/>
                <w:color w:val="auto"/>
              </w:rPr>
            </w:pPr>
          </w:p>
        </w:tc>
        <w:tc>
          <w:tcPr>
            <w:tcW w:w="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right w:val="single" w:sz="8" w:color="E6E6E6"/>
            </w:tcBorders>
            <w:gridSpan w:val="2"/>
            <w:shd w:val="clear" w:color="auto" w:fill="E6E6E6"/>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(22,036)</w:t>
            </w: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863,483</w:t>
            </w:r>
          </w:p>
        </w:tc>
        <w:tc>
          <w:tcPr>
            <w:tcW w:w="0" w:type="dxa"/>
            <w:vAlign w:val="bottom"/>
          </w:tcPr>
          <w:p>
            <w:pPr>
              <w:spacing w:after="0"/>
              <w:rPr>
                <w:sz w:val="1"/>
                <w:szCs w:val="1"/>
                <w:color w:val="auto"/>
              </w:rPr>
            </w:pPr>
          </w:p>
        </w:tc>
      </w:tr>
      <w:tr>
        <w:trPr>
          <w:trHeight w:val="232"/>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33,782</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0" w:type="dxa"/>
            <w:vAlign w:val="bottom"/>
          </w:tcPr>
          <w:p>
            <w:pPr>
              <w:spacing w:after="0"/>
              <w:rPr>
                <w:sz w:val="1"/>
                <w:szCs w:val="1"/>
                <w:color w:val="auto"/>
              </w:rPr>
            </w:pPr>
          </w:p>
        </w:tc>
      </w:tr>
      <w:tr>
        <w:trPr>
          <w:trHeight w:val="229"/>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Vesting of RSUs</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323,297</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issued under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0" w:type="dxa"/>
            <w:vAlign w:val="bottom"/>
          </w:tcPr>
          <w:p>
            <w:pPr>
              <w:spacing w:after="0"/>
              <w:rPr>
                <w:sz w:val="1"/>
                <w:szCs w:val="1"/>
                <w:color w:val="auto"/>
              </w:rPr>
            </w:pPr>
          </w:p>
        </w:tc>
      </w:tr>
      <w:tr>
        <w:trPr>
          <w:trHeight w:val="230"/>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31,959</w:t>
            </w:r>
          </w:p>
        </w:tc>
        <w:tc>
          <w:tcPr>
            <w:tcW w:w="18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20"/>
                <w:szCs w:val="20"/>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31,959</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(531,314)</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(28,919)</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(51,524)</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(80,443)</w:t>
            </w:r>
          </w:p>
        </w:tc>
        <w:tc>
          <w:tcPr>
            <w:tcW w:w="0" w:type="dxa"/>
            <w:vAlign w:val="bottom"/>
          </w:tcPr>
          <w:p>
            <w:pPr>
              <w:spacing w:after="0"/>
              <w:rPr>
                <w:sz w:val="1"/>
                <w:szCs w:val="1"/>
                <w:color w:val="auto"/>
              </w:rPr>
            </w:pPr>
          </w:p>
        </w:tc>
      </w:tr>
      <w:tr>
        <w:trPr>
          <w:trHeight w:val="230"/>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1200" w:type="dxa"/>
            <w:vAlign w:val="bottom"/>
            <w:tcBorders>
              <w:right w:val="single" w:sz="8" w:color="E6E6E6"/>
            </w:tcBorders>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(151,484)</w:t>
            </w:r>
          </w:p>
        </w:tc>
        <w:tc>
          <w:tcPr>
            <w:tcW w:w="140" w:type="dxa"/>
            <w:vAlign w:val="bottom"/>
            <w:shd w:val="clear" w:color="auto" w:fill="E6E6E6"/>
          </w:tcPr>
          <w:p>
            <w:pPr>
              <w:spacing w:after="0"/>
              <w:rPr>
                <w:sz w:val="20"/>
                <w:szCs w:val="20"/>
                <w:color w:val="auto"/>
              </w:rPr>
            </w:pPr>
          </w:p>
        </w:tc>
        <w:tc>
          <w:tcPr>
            <w:tcW w:w="1000" w:type="dxa"/>
            <w:vAlign w:val="bottom"/>
            <w:tcBorders>
              <w:right w:val="single" w:sz="8" w:color="E6E6E6"/>
            </w:tcBorders>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(5,582)</w:t>
            </w:r>
          </w:p>
        </w:tc>
        <w:tc>
          <w:tcPr>
            <w:tcW w:w="140" w:type="dxa"/>
            <w:vAlign w:val="bottom"/>
            <w:shd w:val="clear" w:color="auto" w:fill="E6E6E6"/>
          </w:tcPr>
          <w:p>
            <w:pPr>
              <w:spacing w:after="0"/>
              <w:rPr>
                <w:sz w:val="20"/>
                <w:szCs w:val="20"/>
                <w:color w:val="auto"/>
              </w:rPr>
            </w:pPr>
          </w:p>
        </w:tc>
        <w:tc>
          <w:tcPr>
            <w:tcW w:w="1020" w:type="dxa"/>
            <w:vAlign w:val="bottom"/>
            <w:tcBorders>
              <w:right w:val="single" w:sz="8" w:color="E6E6E6"/>
            </w:tcBorders>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(17,089)</w:t>
            </w:r>
          </w:p>
        </w:tc>
        <w:tc>
          <w:tcPr>
            <w:tcW w:w="220" w:type="dxa"/>
            <w:vAlign w:val="bottom"/>
            <w:shd w:val="clear" w:color="auto" w:fill="E6E6E6"/>
          </w:tcPr>
          <w:p>
            <w:pPr>
              <w:spacing w:after="0"/>
              <w:rPr>
                <w:sz w:val="20"/>
                <w:szCs w:val="20"/>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(22,671)</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149,637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149,637</w:t>
            </w:r>
          </w:p>
        </w:tc>
        <w:tc>
          <w:tcPr>
            <w:tcW w:w="0" w:type="dxa"/>
            <w:vAlign w:val="bottom"/>
          </w:tcPr>
          <w:p>
            <w:pPr>
              <w:spacing w:after="0"/>
              <w:rPr>
                <w:sz w:val="1"/>
                <w:szCs w:val="1"/>
                <w:color w:val="auto"/>
              </w:rPr>
            </w:pPr>
          </w:p>
        </w:tc>
      </w:tr>
      <w:tr>
        <w:trPr>
          <w:trHeight w:val="229"/>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2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100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Balance - June 30, 2025</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16,794,399</w:t>
            </w:r>
          </w:p>
        </w:tc>
        <w:tc>
          <w:tcPr>
            <w:tcW w:w="20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29,758</w:t>
            </w:r>
          </w:p>
        </w:tc>
        <w:tc>
          <w:tcPr>
            <w:tcW w:w="18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942,254</w:t>
            </w:r>
          </w:p>
        </w:tc>
        <w:tc>
          <w:tcPr>
            <w:tcW w:w="180" w:type="dxa"/>
            <w:vAlign w:val="bottom"/>
            <w:tcBorders>
              <w:bottom w:val="single" w:sz="8" w:color="E6E6E6"/>
            </w:tcBorders>
          </w:tcPr>
          <w:p>
            <w:pPr>
              <w:spacing w:after="0"/>
              <w:rPr>
                <w:sz w:val="19"/>
                <w:szCs w:val="19"/>
                <w:color w:val="auto"/>
              </w:rPr>
            </w:pPr>
          </w:p>
        </w:tc>
        <w:tc>
          <w:tcPr>
            <w:tcW w:w="2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(20,928)</w:t>
            </w:r>
          </w:p>
        </w:tc>
        <w:tc>
          <w:tcPr>
            <w:tcW w:w="20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951,084</w:t>
            </w:r>
          </w:p>
        </w:tc>
        <w:tc>
          <w:tcPr>
            <w:tcW w:w="0" w:type="dxa"/>
            <w:vAlign w:val="bottom"/>
          </w:tcPr>
          <w:p>
            <w:pPr>
              <w:spacing w:after="0"/>
              <w:rPr>
                <w:sz w:val="1"/>
                <w:szCs w:val="1"/>
                <w:color w:val="auto"/>
              </w:rPr>
            </w:pPr>
          </w:p>
        </w:tc>
      </w:tr>
      <w:tr>
        <w:trPr>
          <w:trHeight w:val="232"/>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15,650</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1,715</w:t>
            </w:r>
          </w:p>
        </w:tc>
        <w:tc>
          <w:tcPr>
            <w:tcW w:w="18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E6E6E6"/>
            </w:tcBorders>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1,715</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Vesting of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339,252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Shares issued under employee stock purchase plan</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40,793</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5,565</w:t>
            </w:r>
          </w:p>
        </w:tc>
        <w:tc>
          <w:tcPr>
            <w:tcW w:w="18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2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5,565</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26,433</w:t>
            </w:r>
          </w:p>
        </w:tc>
        <w:tc>
          <w:tcPr>
            <w:tcW w:w="0" w:type="dxa"/>
            <w:vAlign w:val="bottom"/>
          </w:tcPr>
          <w:p>
            <w:pPr>
              <w:spacing w:after="0"/>
              <w:rPr>
                <w:sz w:val="1"/>
                <w:szCs w:val="1"/>
                <w:color w:val="auto"/>
              </w:rPr>
            </w:pPr>
          </w:p>
        </w:tc>
      </w:tr>
      <w:tr>
        <w:trPr>
          <w:trHeight w:val="229"/>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1200" w:type="dxa"/>
            <w:vAlign w:val="bottom"/>
            <w:tcBorders>
              <w:right w:val="single" w:sz="8" w:color="E6E6E6"/>
            </w:tcBorders>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(1,111,825)</w:t>
            </w:r>
          </w:p>
        </w:tc>
        <w:tc>
          <w:tcPr>
            <w:tcW w:w="140" w:type="dxa"/>
            <w:vAlign w:val="bottom"/>
            <w:shd w:val="clear" w:color="auto" w:fill="E6E6E6"/>
          </w:tcPr>
          <w:p>
            <w:pPr>
              <w:spacing w:after="0"/>
              <w:rPr>
                <w:sz w:val="19"/>
                <w:szCs w:val="19"/>
                <w:color w:val="auto"/>
              </w:rPr>
            </w:pPr>
          </w:p>
        </w:tc>
        <w:tc>
          <w:tcPr>
            <w:tcW w:w="1000" w:type="dxa"/>
            <w:vAlign w:val="bottom"/>
            <w:tcBorders>
              <w:right w:val="single" w:sz="8" w:color="E6E6E6"/>
            </w:tcBorders>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(27,057)</w:t>
            </w:r>
          </w:p>
        </w:tc>
        <w:tc>
          <w:tcPr>
            <w:tcW w:w="140" w:type="dxa"/>
            <w:vAlign w:val="bottom"/>
            <w:shd w:val="clear" w:color="auto" w:fill="E6E6E6"/>
          </w:tcPr>
          <w:p>
            <w:pPr>
              <w:spacing w:after="0"/>
              <w:rPr>
                <w:sz w:val="19"/>
                <w:szCs w:val="19"/>
                <w:color w:val="auto"/>
              </w:rPr>
            </w:pPr>
          </w:p>
        </w:tc>
        <w:tc>
          <w:tcPr>
            <w:tcW w:w="1020" w:type="dxa"/>
            <w:vAlign w:val="bottom"/>
            <w:tcBorders>
              <w:right w:val="single" w:sz="8" w:color="E6E6E6"/>
            </w:tcBorders>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(244,848)</w:t>
            </w:r>
          </w:p>
        </w:tc>
        <w:tc>
          <w:tcPr>
            <w:tcW w:w="220" w:type="dxa"/>
            <w:vAlign w:val="bottom"/>
            <w:shd w:val="clear" w:color="auto" w:fill="E6E6E6"/>
          </w:tcPr>
          <w:p>
            <w:pPr>
              <w:spacing w:after="0"/>
              <w:rPr>
                <w:sz w:val="19"/>
                <w:szCs w:val="19"/>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(271,905)</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(160,203)</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(36,397)</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(36,397)</w:t>
            </w:r>
          </w:p>
        </w:tc>
        <w:tc>
          <w:tcPr>
            <w:tcW w:w="0" w:type="dxa"/>
            <w:vAlign w:val="bottom"/>
          </w:tcPr>
          <w:p>
            <w:pPr>
              <w:spacing w:after="0"/>
              <w:rPr>
                <w:sz w:val="1"/>
                <w:szCs w:val="1"/>
                <w:color w:val="auto"/>
              </w:rPr>
            </w:pPr>
          </w:p>
        </w:tc>
      </w:tr>
      <w:tr>
        <w:trPr>
          <w:trHeight w:val="230"/>
        </w:trPr>
        <w:tc>
          <w:tcPr>
            <w:tcW w:w="50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income</w:t>
            </w:r>
          </w:p>
        </w:tc>
        <w:tc>
          <w:tcPr>
            <w:tcW w:w="12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00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154,711</w:t>
            </w:r>
          </w:p>
        </w:tc>
        <w:tc>
          <w:tcPr>
            <w:tcW w:w="180" w:type="dxa"/>
            <w:vAlign w:val="bottom"/>
            <w:tcBorders>
              <w:right w:val="single" w:sz="8" w:color="E6E6E6"/>
            </w:tcBorders>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0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154,711</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0" w:type="dxa"/>
            <w:vAlign w:val="bottom"/>
          </w:tcPr>
          <w:p>
            <w:pPr>
              <w:spacing w:after="0"/>
              <w:rPr>
                <w:sz w:val="1"/>
                <w:szCs w:val="1"/>
                <w:color w:val="auto"/>
              </w:rPr>
            </w:pPr>
          </w:p>
        </w:tc>
      </w:tr>
      <w:tr>
        <w:trPr>
          <w:trHeight w:val="221"/>
        </w:trPr>
        <w:tc>
          <w:tcPr>
            <w:tcW w:w="5080" w:type="dxa"/>
            <w:vAlign w:val="bottom"/>
            <w:tcBorders>
              <w:right w:val="single" w:sz="8" w:color="E6E6E6"/>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Balance - June 30, 2026</w:t>
            </w:r>
          </w:p>
        </w:tc>
        <w:tc>
          <w:tcPr>
            <w:tcW w:w="10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15,918,066</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17</w:t>
            </w:r>
          </w:p>
        </w:tc>
        <w:tc>
          <w:tcPr>
            <w:tcW w:w="18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852,117</w:t>
            </w:r>
          </w:p>
        </w:tc>
        <w:tc>
          <w:tcPr>
            <w:tcW w:w="180" w:type="dxa"/>
            <w:vAlign w:val="bottom"/>
            <w:tcBorders>
              <w:right w:val="single" w:sz="8" w:color="E6E6E6"/>
            </w:tcBorders>
            <w:shd w:val="clear" w:color="auto" w:fill="E6E6E6"/>
          </w:tcPr>
          <w:p>
            <w:pPr>
              <w:spacing w:after="0"/>
              <w:rPr>
                <w:sz w:val="19"/>
                <w:szCs w:val="19"/>
                <w:color w:val="auto"/>
              </w:rPr>
            </w:pPr>
          </w:p>
        </w:tc>
        <w:tc>
          <w:tcPr>
            <w:tcW w:w="220" w:type="dxa"/>
            <w:vAlign w:val="bottom"/>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right w:val="single" w:sz="8" w:color="E6E6E6"/>
            </w:tcBorders>
            <w:gridSpan w:val="2"/>
            <w:shd w:val="clear" w:color="auto" w:fill="E6E6E6"/>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(19,173)</w:t>
            </w:r>
          </w:p>
        </w:tc>
        <w:tc>
          <w:tcPr>
            <w:tcW w:w="1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832,961</w:t>
            </w:r>
          </w:p>
        </w:tc>
        <w:tc>
          <w:tcPr>
            <w:tcW w:w="0" w:type="dxa"/>
            <w:vAlign w:val="bottom"/>
          </w:tcPr>
          <w:p>
            <w:pPr>
              <w:spacing w:after="0"/>
              <w:rPr>
                <w:sz w:val="1"/>
                <w:szCs w:val="1"/>
                <w:color w:val="auto"/>
              </w:rPr>
            </w:pPr>
          </w:p>
        </w:tc>
      </w:tr>
      <w:tr>
        <w:trPr>
          <w:trHeight w:val="29"/>
        </w:trPr>
        <w:tc>
          <w:tcPr>
            <w:tcW w:w="50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r>
        <w:rPr>
          <w:rFonts w:ascii="Times New Roman" w:cs="Times New Roman" w:eastAsia="Times New Roman" w:hAnsi="Times New Roman"/>
          <w:sz w:val="24"/>
          <w:szCs w:val="24"/>
          <w:color w:val="auto"/>
        </w:rPr>
        <w: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800"/>
          </w:cols>
          <w:pgMar w:left="540" w:top="1347" w:right="54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4"/>
        </w:trPr>
        <w:tc>
          <w:tcPr>
            <w:tcW w:w="706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70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CASH FLOWS FROM OPERATING ACTIVITIES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128,154</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154,711</w:t>
            </w:r>
          </w:p>
        </w:tc>
      </w:tr>
      <w:tr>
        <w:trPr>
          <w:trHeight w:val="229"/>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(used in) operating</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r>
      <w:tr>
        <w:trPr>
          <w:trHeight w:val="230"/>
        </w:trPr>
        <w:tc>
          <w:tcPr>
            <w:tcW w:w="706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activities, net of effects from acquisitions:</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42,650</w:t>
            </w:r>
          </w:p>
        </w:tc>
      </w:tr>
      <w:tr>
        <w:trPr>
          <w:trHeight w:val="230"/>
        </w:trPr>
        <w:tc>
          <w:tcPr>
            <w:tcW w:w="706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28,706</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31,959</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26,433</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 for (recovery of) losses on accounts receivable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w:t>
            </w:r>
          </w:p>
        </w:tc>
      </w:tr>
      <w:tr>
        <w:trPr>
          <w:trHeight w:val="229"/>
        </w:trPr>
        <w:tc>
          <w:tcPr>
            <w:tcW w:w="706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Deferred income taxes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(14,133)</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(9,087)</w:t>
            </w: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(2,032)</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 of debt discount and issuance costs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3,211</w:t>
            </w:r>
          </w:p>
        </w:tc>
      </w:tr>
      <w:tr>
        <w:trPr>
          <w:trHeight w:val="230"/>
        </w:trPr>
        <w:tc>
          <w:tcPr>
            <w:tcW w:w="706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1,116</w:t>
            </w: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Changes in operating assets and liabilities—net of business acquisitions: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060" w:type="dxa"/>
            <w:vAlign w:val="bottom"/>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Accounts receivable</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(293,639)</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(164,721)</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98,669</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(57,292)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(10,358)</w:t>
            </w:r>
          </w:p>
        </w:tc>
      </w:tr>
      <w:tr>
        <w:trPr>
          <w:trHeight w:val="229"/>
        </w:trPr>
        <w:tc>
          <w:tcPr>
            <w:tcW w:w="7060" w:type="dxa"/>
            <w:vAlign w:val="bottom"/>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(31,656)</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2,297</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(17,952)</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52,454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(35,854)</w:t>
            </w:r>
          </w:p>
        </w:tc>
      </w:tr>
      <w:tr>
        <w:trPr>
          <w:trHeight w:val="230"/>
        </w:trPr>
        <w:tc>
          <w:tcPr>
            <w:tcW w:w="7060" w:type="dxa"/>
            <w:vAlign w:val="bottom"/>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Accrued payroll and related expenses</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(5,010)</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(730)</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4,168</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Advances from customers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(25,802)</w:t>
            </w:r>
          </w:p>
        </w:tc>
      </w:tr>
      <w:tr>
        <w:trPr>
          <w:trHeight w:val="230"/>
        </w:trPr>
        <w:tc>
          <w:tcPr>
            <w:tcW w:w="7060" w:type="dxa"/>
            <w:vAlign w:val="bottom"/>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Deferred revenue</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25,495</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11,572</w:t>
            </w:r>
          </w:p>
        </w:tc>
      </w:tr>
      <w:tr>
        <w:trPr>
          <w:trHeight w:val="230"/>
        </w:trPr>
        <w:tc>
          <w:tcPr>
            <w:tcW w:w="7060" w:type="dxa"/>
            <w:vAlign w:val="bottom"/>
            <w:tcBorders>
              <w:bottom w:val="single" w:sz="8" w:color="E6E6E6"/>
            </w:tcBorders>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21,311</w:t>
            </w:r>
          </w:p>
        </w:tc>
        <w:tc>
          <w:tcPr>
            <w:tcW w:w="22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4,852</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21,242</w:t>
            </w:r>
          </w:p>
        </w:tc>
      </w:tr>
      <w:tr>
        <w:trPr>
          <w:trHeight w:val="220"/>
        </w:trPr>
        <w:tc>
          <w:tcPr>
            <w:tcW w:w="7060" w:type="dxa"/>
            <w:vAlign w:val="bottom"/>
            <w:shd w:val="clear" w:color="auto" w:fill="E6E6E6"/>
          </w:tcPr>
          <w:p>
            <w:pPr>
              <w:ind w:left="480"/>
              <w:spacing w:after="0" w:line="220" w:lineRule="exact"/>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8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(87,501)</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97,592</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275,904</w:t>
            </w:r>
          </w:p>
        </w:tc>
      </w:tr>
      <w:tr>
        <w:trPr>
          <w:trHeight w:val="220"/>
        </w:trPr>
        <w:tc>
          <w:tcPr>
            <w:tcW w:w="70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FLOWS FROM INVESTING ACTIVITIES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Acquisition of property and equipment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(22,102)</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(23,832)</w:t>
            </w: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(30,570)</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Proceeds from sale of property and equipment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6,491</w:t>
            </w:r>
          </w:p>
        </w:tc>
      </w:tr>
      <w:tr>
        <w:trPr>
          <w:trHeight w:val="230"/>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Proceeds from maturities of certificates of deposit</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10,329</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 of businesses, net of cash acquired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(76,739)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(26,267)</w:t>
            </w:r>
          </w:p>
        </w:tc>
      </w:tr>
      <w:tr>
        <w:trPr>
          <w:trHeight w:val="230"/>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Payments for intangible and other assets</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(17,330)</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(17,665)</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(17,980)</w:t>
            </w:r>
          </w:p>
        </w:tc>
      </w:tr>
      <w:tr>
        <w:trPr>
          <w:trHeight w:val="220"/>
        </w:trPr>
        <w:tc>
          <w:tcPr>
            <w:tcW w:w="7060" w:type="dxa"/>
            <w:vAlign w:val="bottom"/>
            <w:tcBorders>
              <w:bottom w:val="single" w:sz="8" w:color="E6E6E6"/>
            </w:tcBorders>
          </w:tcPr>
          <w:p>
            <w:pPr>
              <w:ind w:left="480"/>
              <w:spacing w:after="0" w:line="220"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(37,639)</w:t>
            </w:r>
          </w:p>
        </w:tc>
        <w:tc>
          <w:tcPr>
            <w:tcW w:w="2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(117,851)</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(68,308)</w:t>
            </w:r>
          </w:p>
        </w:tc>
      </w:tr>
      <w:tr>
        <w:trPr>
          <w:trHeight w:val="220"/>
        </w:trPr>
        <w:tc>
          <w:tcPr>
            <w:tcW w:w="70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CASH FLOWS FROM FINANCING ACTIVITIES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borrowings (repayments) on bank lines of credit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(206,000)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(178,000)</w:t>
            </w:r>
          </w:p>
        </w:tc>
      </w:tr>
      <w:tr>
        <w:trPr>
          <w:trHeight w:val="230"/>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1,435</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340,679</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663,039</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Payments on long-term debt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(8,277)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(136,831)</w:t>
            </w:r>
          </w:p>
        </w:tc>
      </w:tr>
      <w:tr>
        <w:trPr>
          <w:trHeight w:val="229"/>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Proceeds from exercise of stock options and employee stock purchase plan</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6,178</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8,011</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7,280</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 of contingent consideration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(477)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r>
      <w:tr>
        <w:trPr>
          <w:trHeight w:val="230"/>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shd w:val="clear" w:color="auto" w:fill="E6E6E6"/>
              </w:rPr>
              <w:t>(80,443)</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(271,905)</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(22,671)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(36,397)</w:t>
            </w:r>
          </w:p>
        </w:tc>
      </w:tr>
      <w:tr>
        <w:trPr>
          <w:trHeight w:val="220"/>
        </w:trPr>
        <w:tc>
          <w:tcPr>
            <w:tcW w:w="7060" w:type="dxa"/>
            <w:vAlign w:val="bottom"/>
            <w:tcBorders>
              <w:top w:val="single" w:sz="8" w:color="E6E6E6"/>
            </w:tcBorders>
            <w:shd w:val="clear" w:color="auto" w:fill="E6E6E6"/>
          </w:tcPr>
          <w:p>
            <w:pPr>
              <w:ind w:left="480"/>
              <w:spacing w:after="0" w:line="220"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bottom w:val="single" w:sz="8" w:color="auto"/>
            </w:tcBorders>
            <w:shd w:val="clear" w:color="auto" w:fill="E6E6E6"/>
          </w:tcPr>
          <w:p>
            <w:pPr>
              <w:spacing w:after="0"/>
              <w:rPr>
                <w:sz w:val="19"/>
                <w:szCs w:val="19"/>
                <w:color w:val="auto"/>
              </w:rPr>
            </w:pPr>
          </w:p>
        </w:tc>
        <w:tc>
          <w:tcPr>
            <w:tcW w:w="8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144,250</w:t>
            </w:r>
          </w:p>
        </w:tc>
        <w:tc>
          <w:tcPr>
            <w:tcW w:w="2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bottom w:val="single" w:sz="8" w:color="auto"/>
            </w:tcBorders>
            <w:shd w:val="clear" w:color="auto" w:fill="E6E6E6"/>
          </w:tcPr>
          <w:p>
            <w:pPr>
              <w:spacing w:after="0"/>
              <w:rPr>
                <w:sz w:val="19"/>
                <w:szCs w:val="19"/>
                <w:color w:val="auto"/>
              </w:rPr>
            </w:pPr>
          </w:p>
        </w:tc>
        <w:tc>
          <w:tcPr>
            <w:tcW w:w="86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30,822</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bottom w:val="single" w:sz="8" w:color="auto"/>
            </w:tcBorders>
            <w:shd w:val="clear" w:color="auto" w:fill="E6E6E6"/>
          </w:tcPr>
          <w:p>
            <w:pPr>
              <w:spacing w:after="0"/>
              <w:rPr>
                <w:sz w:val="19"/>
                <w:szCs w:val="19"/>
                <w:color w:val="auto"/>
              </w:rPr>
            </w:pPr>
          </w:p>
        </w:tc>
        <w:tc>
          <w:tcPr>
            <w:tcW w:w="86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46,700</w:t>
            </w:r>
          </w:p>
        </w:tc>
      </w:tr>
      <w:tr>
        <w:trPr>
          <w:trHeight w:val="220"/>
        </w:trPr>
        <w:tc>
          <w:tcPr>
            <w:tcW w:w="706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Effect of exchange rate changes on cash</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(507)</w:t>
            </w:r>
          </w:p>
        </w:tc>
        <w:tc>
          <w:tcPr>
            <w:tcW w:w="2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489</w:t>
            </w:r>
          </w:p>
        </w:tc>
        <w:tc>
          <w:tcPr>
            <w:tcW w:w="2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(869)</w:t>
            </w:r>
          </w:p>
        </w:tc>
      </w:tr>
      <w:tr>
        <w:trPr>
          <w:trHeight w:val="220"/>
        </w:trPr>
        <w:tc>
          <w:tcPr>
            <w:tcW w:w="70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increase in cash and cash equivalents</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18,603</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11,052</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253,427</w:t>
            </w:r>
          </w:p>
        </w:tc>
      </w:tr>
      <w:tr>
        <w:trPr>
          <w:trHeight w:val="230"/>
        </w:trPr>
        <w:tc>
          <w:tcPr>
            <w:tcW w:w="70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Cash and cash equivalents—beginning of year</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76,750</w:t>
            </w:r>
          </w:p>
        </w:tc>
        <w:tc>
          <w:tcPr>
            <w:tcW w:w="22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95,353</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106,405</w:t>
            </w:r>
          </w:p>
        </w:tc>
      </w:tr>
      <w:tr>
        <w:trPr>
          <w:trHeight w:val="229"/>
        </w:trPr>
        <w:tc>
          <w:tcPr>
            <w:tcW w:w="70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Cash and cash equivalents—end of year</w:t>
            </w:r>
          </w:p>
        </w:tc>
        <w:tc>
          <w:tcPr>
            <w:tcW w:w="40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95,353</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106,405</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359,832</w:t>
            </w: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38"/>
        </w:trPr>
        <w:tc>
          <w:tcPr>
            <w:tcW w:w="70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Interest paid</w:t>
            </w:r>
          </w:p>
        </w:tc>
        <w:tc>
          <w:tcPr>
            <w:tcW w:w="4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26,761</w:t>
            </w:r>
          </w:p>
        </w:tc>
        <w:tc>
          <w:tcPr>
            <w:tcW w:w="220" w:type="dxa"/>
            <w:vAlign w:val="bottom"/>
            <w:shd w:val="clear" w:color="auto" w:fill="E6E6E6"/>
          </w:tcPr>
          <w:p>
            <w:pPr>
              <w:spacing w:after="0"/>
              <w:rPr>
                <w:sz w:val="20"/>
                <w:szCs w:val="20"/>
                <w:color w:val="auto"/>
              </w:rPr>
            </w:pPr>
          </w:p>
        </w:tc>
        <w:tc>
          <w:tcPr>
            <w:tcW w:w="1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26,837</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20,504</w:t>
            </w:r>
          </w:p>
        </w:tc>
      </w:tr>
      <w:tr>
        <w:trPr>
          <w:trHeight w:val="242"/>
        </w:trPr>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 taxes paid</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42,100</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39,901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43,000</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10800"/>
          </w:cols>
          <w:pgMar w:left="540" w:top="1347"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10800"/>
          </w:cols>
          <w:pgMar w:left="540" w:top="1347" w:right="540" w:bottom="7"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199" w:lineRule="exact"/>
        <w:rPr>
          <w:sz w:val="20"/>
          <w:szCs w:val="20"/>
          <w:color w:val="auto"/>
        </w:rPr>
      </w:pPr>
    </w:p>
    <w:p>
      <w:pPr>
        <w:ind w:left="720" w:hanging="720"/>
        <w:spacing w:after="0"/>
        <w:tabs>
          <w:tab w:leader="none" w:pos="7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Description of Business</w:t>
      </w:r>
      <w:r>
        <w:rPr>
          <w:rFonts w:ascii="Times New Roman" w:cs="Times New Roman" w:eastAsia="Times New Roman" w:hAnsi="Times New Roman"/>
          <w:sz w:val="20"/>
          <w:szCs w:val="20"/>
          <w:color w:val="auto"/>
        </w:rPr>
        <w:t>—OSI Systems, Inc., together with our subsidiaries, is a vertically integrated designer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manufacturer of specialized electronic systems and components for critical applications. We sell our products and provide related services in diversified markets, including homeland security, healthcare, defense and aerospace.</w:t>
      </w:r>
    </w:p>
    <w:p>
      <w:pPr>
        <w:spacing w:after="0" w:line="18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have three reporting segments: (i) Security, providing security and inspection systems, radio frequency solutions and turnkey security screening solutions; (ii) Optoelectronics and Manufacturing, providing specialized electronic components and electronic manufacturing services for applications in the defense and aerospace markets, among others, and for our Security and Healthcare divisions and (iii) Healthcare, providing patient monitoring, cardiology and remote monitoring, and connected care systems and associated accessories.</w:t>
      </w:r>
    </w:p>
    <w:p>
      <w:pPr>
        <w:spacing w:after="0" w:line="19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Through our Security segment, we provide security screening products and related services globally. These products and services are used to inspect baggage, parcels, cargo, people, vehicles and other objects for weapons, explosives, drugs, radioactive and nuclear materials and other contraband, as well as radio frequency transmission equipment, such as high-power transmitters, amplifiers and power supplies for broadcast, communications, science and industry. In addition to these products, we also provide site design, installation, training and technical support services to our customers. We also provide turnkey security screening solutions, which can include the construction, staffing and long-term operation of security screening checkpoints for our customers.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Through our Optoelectronics and Manufacturing segment, we design, 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This division provides products and services to OEM customers and to our own Security and Healthcare divisions.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Through our Healthcare segment, we design, manufacture, market and service patient monitoring, cardiology and remote monitoring, and connected care systems and associated accessories globally. These products are used by care providers in critical care, emergency and perioperative areas within the hospital and provide information, through wired and wireless networks, to physicians and nurses who may be at the patient’s bedside, in another area of the hospital or even outside the hospital.</w:t>
      </w:r>
    </w:p>
    <w:p>
      <w:pPr>
        <w:spacing w:after="0" w:line="19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Consolidation</w:t>
      </w:r>
      <w:r>
        <w:rPr>
          <w:rFonts w:ascii="Times New Roman" w:cs="Times New Roman" w:eastAsia="Times New Roman" w:hAnsi="Times New Roman"/>
          <w:sz w:val="20"/>
          <w:szCs w:val="20"/>
          <w:color w:val="auto"/>
        </w:rPr>
        <w:t>—The consolidated financial statements include the accounts of OSI Systems, Inc. and our wholly-owned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majority-owned subsidiaries. All significant intercompany accounts and transactions have been eliminated in consolidation. Investments in joint ventures over which we have significant influence but do not have voting control are accounted for using the equity method. Investments over which we do not have significant influence or control are not material and are carried at cost as there is no readily determinable fair value for equity interests.</w:t>
      </w:r>
    </w:p>
    <w:p>
      <w:pPr>
        <w:spacing w:after="0" w:line="197"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Use of Estimates</w:t>
      </w:r>
      <w:r>
        <w:rPr>
          <w:rFonts w:ascii="Times New Roman" w:cs="Times New Roman" w:eastAsia="Times New Roman" w:hAnsi="Times New Roman"/>
          <w:sz w:val="20"/>
          <w:szCs w:val="20"/>
          <w:color w:val="auto"/>
        </w:rPr>
        <w:t>—The preparation of financial statements in conformity with GAAP requires management to make estimates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assumptions that affect the reported amounts of assets and liabilities and the disclosure of contingent assets and liabilities at the date of the financial statements and the reported amounts of sales, 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these estimates.</w:t>
      </w:r>
    </w:p>
    <w:p>
      <w:pPr>
        <w:spacing w:after="0" w:line="20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Cash and Cash Equivalents</w:t>
      </w:r>
      <w:r>
        <w:rPr>
          <w:rFonts w:ascii="Times New Roman" w:cs="Times New Roman" w:eastAsia="Times New Roman" w:hAnsi="Times New Roman"/>
          <w:sz w:val="20"/>
          <w:szCs w:val="20"/>
          <w:color w:val="auto"/>
        </w:rPr>
        <w:t>—We consider all highly liquid investments with maturities of three months or less as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acquisition date to be cash equivalents.</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800"/>
          </w:cols>
          <w:pgMar w:left="540" w:top="846" w:right="540" w:bottom="7" w:gutter="0" w:footer="0" w:header="0"/>
          <w:type w:val="continuous"/>
        </w:sectPr>
      </w:pPr>
    </w:p>
    <w:bookmarkStart w:id="75" w:name="page76"/>
    <w:bookmarkEnd w:id="75"/>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1"/>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Accounts Receivable</w:t>
      </w:r>
      <w:r>
        <w:rPr>
          <w:rFonts w:ascii="Times New Roman" w:cs="Times New Roman" w:eastAsia="Times New Roman" w:hAnsi="Times New Roman"/>
          <w:sz w:val="20"/>
          <w:szCs w:val="20"/>
          <w:color w:val="auto"/>
        </w:rPr>
        <w:t>—We monitor collections and payments from our customers, and we maintain allowances for doubtful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for estimated losses resulting from the inability of our customers to make required payments. We determine the allowance based on known troubled accounts, historical experience, current economic trends that might impact the level of credit losses in the future and other available information. If the financial condition of our customers were to deteriorate, resulting in an impairment of their ability to make payments, additional allowances could be required.</w:t>
      </w:r>
    </w:p>
    <w:p>
      <w:pPr>
        <w:spacing w:after="0" w:line="19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Inventories</w:t>
      </w:r>
      <w:r>
        <w:rPr>
          <w:rFonts w:ascii="Times New Roman" w:cs="Times New Roman" w:eastAsia="Times New Roman" w:hAnsi="Times New Roman"/>
          <w:sz w:val="20"/>
          <w:szCs w:val="20"/>
          <w:color w:val="auto"/>
        </w:rPr>
        <w:t>— The majority of our inventories are valued using the average costing method with select subsidiaries using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standard costing method. All methods of valuing inventory used by the Company approximate the first-in, first-out basis for valuing inventory. Inventories are generally stated at the lower of cost (first-in, first-out) or net realizable value. We write down inventory for slow-moving and obsolete inventory based on historical usage, orders on hand, assessments of future demands, market conditions among other items. If these factors become less favorable than those projected, additional inventory write-downs may be required.</w:t>
      </w:r>
    </w:p>
    <w:p>
      <w:pPr>
        <w:spacing w:after="0" w:line="19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Property and Equipment</w:t>
      </w:r>
      <w:r>
        <w:rPr>
          <w:rFonts w:ascii="Times New Roman" w:cs="Times New Roman" w:eastAsia="Times New Roman" w:hAnsi="Times New Roman"/>
          <w:sz w:val="20"/>
          <w:szCs w:val="20"/>
          <w:color w:val="auto"/>
        </w:rPr>
        <w:t>—Property and equipment are stated at cost less accumulated depreciation and amortization.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and amortization are charged while assets are used in service and are computed using the straight-line method over the estimated useful lives of the assets taking into consideration any estimated salvage value. Amortization of leasehold improvements is calculated on the straight-line method over the shorter of the useful life of the asset or the lease term. Right-of-use assets from finance leases are included in property and equipment. Amortization of property and equipment under finance leases is included with depreciation expense. In the event that property and equipment are idle, as a result of excess capacity or the early termination, non-renewal or reduction in scope of a turnkey screening operation, such assets are assessed for impairment on a periodic basis or if any indicators of impairment exist.</w:t>
      </w:r>
    </w:p>
    <w:p>
      <w:pPr>
        <w:spacing w:after="0" w:line="202"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Goodwill and Other Intangible Assets and Valuation of Long-Lived Assets</w:t>
      </w:r>
      <w:r>
        <w:rPr>
          <w:rFonts w:ascii="Times New Roman" w:cs="Times New Roman" w:eastAsia="Times New Roman" w:hAnsi="Times New Roman"/>
          <w:sz w:val="20"/>
          <w:szCs w:val="20"/>
          <w:color w:val="auto"/>
        </w:rPr>
        <w:t>—Goodwill represents the excess purchase price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the estimated fair value of the assets acquired and liabilities assumed in a business combination. Goodwill is allocated to our reporting units based on the nature of the product line of the acquired business. The carrying value of goodwill and indefinite life intangible assets are not amortized but are annually tested for impairment as of the end of the second quarter and more frequently if there is an indicator of impairment. We assess qualitative factors of each of our three reporting units to determine whether it is more likely than not that the fair value of a reporting unit is less than its carrying amount, including goodwill and intangible assets. The assessments conducted as of December 31, 2025 indicated that it is not more likely than not that the fair values of our three reporting units are less than their carrying amounts, including goodwill and intangible assets. There were no qualitative factors which would trigger impairment testing of goodwill and indefinite life intangible assets between measurement dates. Thus, we have determined that there is no goodwill or indefinite life intangible assets impairment for any of the three reporting units.</w:t>
      </w:r>
    </w:p>
    <w:p>
      <w:pPr>
        <w:spacing w:after="0" w:line="20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We evaluate long-lived assets with finite lives for impairment whenever events or changes in circumstances indicate that the carrying amount of the asset may not be recoverable. Impairment is considered to exist if the total estimated future cash flows on an undiscounted basis are less than the carrying amount of the assets. If impairment does exist, we measure the impairment loss and record it based on the discounted estimate of future cash flows. In estimating future cash flows, we group assets at the lowest level for which there are identifiable cash flows that are largely independent of the cash flows from other asset groups. Our estimate of future cash flows is based upon, among other things, certain assumptions about expected future operating performance, growth rates and other factors.</w:t>
      </w:r>
    </w:p>
    <w:p>
      <w:pPr>
        <w:spacing w:after="0" w:line="184"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—Deferred income taxes are provided for temporary differences between the financial statement and income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basis of our assets and liabilities, based on enacted tax rates. A valuation allowance is provided when it is more likely than not that some portion or all of the deferred income tax assets will not be realized. Income tax accounting standards prescribe a two-step process for the financial statement measurement and recognition of a tax position taken or expected to be taken in a tax return. The first step involves determination of whether it is more likely than not (greater than 50 percent likelihood) that a tax position will be sustained upon examination, based on the technical merits of the position. The second step requires that any tax position that meets the more likely than not recognition threshold be measured and recognized in the financial statements at the largest amount of benefit that is greater than 50 percent likely of being realized upon ultimate settlement. See Note 10 for additional information.</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800"/>
          </w:cols>
          <w:pgMar w:left="540" w:top="846" w:right="540" w:bottom="7" w:gutter="0" w:footer="0" w:header="0"/>
          <w:type w:val="continuous"/>
        </w:sectPr>
      </w:pPr>
    </w:p>
    <w:bookmarkStart w:id="76" w:name="page77"/>
    <w:bookmarkEnd w:id="76"/>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r>
        <w:rPr>
          <w:rFonts w:ascii="Times New Roman" w:cs="Times New Roman" w:eastAsia="Times New Roman" w:hAnsi="Times New Roman"/>
          <w:sz w:val="19"/>
          <w:szCs w:val="19"/>
          <w:color w:val="auto"/>
        </w:rPr>
        <w:t>—Our financial instruments consist primarily of cash and cash equivalents, insurance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contracts, accounts receivable, accounts payable, debt instruments, an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term loan and lease obligations are considered to approximate their fair values because the interest rates of these instruments are variable or comparable to current rates for financing available to us. The fair values of our foreign currency forward contracts were not significant as of June 30, 2026.</w:t>
      </w:r>
    </w:p>
    <w:p>
      <w:pPr>
        <w:spacing w:after="0" w:line="183"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Fair value is the price that would be received in the sale of an asset or paid to transfer a liability in an orderly transaction between market participants at the measurement date. The “Level 1” category comprises assets and liabilities measured at quoted prices in active markets for identical assets and liabilities. The “Level 2” category comprises assets and liabilities measured from observable inputs other than quoted market prices. The “Level 3” category comprises assets and liabilities for which valuation inputs are unobservable and significant to the fair value measurement. Our contingent payment obligations related to acquisitions, which are further discussed in Note 11 to the consolidated financial statements, are in the “Level 3” category for valuation purposes.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fair values of our financial assets and liabilities as of June 30, 2025 and 2026 are categorized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60" w:type="dxa"/>
            <w:vAlign w:val="bottom"/>
            <w:tcBorders>
              <w:bottom w:val="single" w:sz="8" w:color="E6E6E6"/>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680" w:type="dxa"/>
            <w:vAlign w:val="bottom"/>
            <w:tcBorders>
              <w:bottom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4"/>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640" w:type="dxa"/>
            <w:vAlign w:val="bottom"/>
            <w:tcBorders>
              <w:bottom w:val="single" w:sz="8" w:color="auto"/>
            </w:tcBorders>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4"/>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4"/>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29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Assets—Insurance company</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contracts</w:t>
            </w:r>
          </w:p>
        </w:tc>
        <w:tc>
          <w:tcPr>
            <w:tcW w:w="440" w:type="dxa"/>
            <w:vAlign w:val="bottom"/>
            <w:gridSpan w:val="3"/>
            <w:shd w:val="clear" w:color="auto" w:fill="E6E6E6"/>
          </w:tcPr>
          <w:p>
            <w:pPr>
              <w:jc w:val="right"/>
              <w:ind w:right="98"/>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54,437</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54,437</w:t>
            </w:r>
          </w:p>
        </w:tc>
        <w:tc>
          <w:tcPr>
            <w:tcW w:w="420" w:type="dxa"/>
            <w:vAlign w:val="bottom"/>
            <w:gridSpan w:val="3"/>
            <w:shd w:val="clear" w:color="auto" w:fill="E6E6E6"/>
          </w:tcPr>
          <w:p>
            <w:pPr>
              <w:jc w:val="right"/>
              <w:ind w:right="78"/>
              <w:spacing w:after="0"/>
              <w:rPr>
                <w:sz w:val="20"/>
                <w:szCs w:val="20"/>
                <w:color w:val="auto"/>
              </w:rPr>
            </w:pPr>
            <w:r>
              <w:rPr>
                <w:rFonts w:ascii="Times New Roman" w:cs="Times New Roman" w:eastAsia="Times New Roman" w:hAnsi="Times New Roman"/>
                <w:sz w:val="20"/>
                <w:szCs w:val="20"/>
                <w:color w:val="auto"/>
                <w:shd w:val="clear" w:color="auto" w:fill="E6E6E6"/>
              </w:rPr>
              <w:t>$</w:t>
            </w:r>
          </w:p>
        </w:tc>
        <w:tc>
          <w:tcPr>
            <w:tcW w:w="40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shd w:val="clear" w:color="auto" w:fill="E6E6E6"/>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65,678</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65,678</w:t>
            </w:r>
          </w:p>
        </w:tc>
        <w:tc>
          <w:tcPr>
            <w:tcW w:w="0" w:type="dxa"/>
            <w:vAlign w:val="bottom"/>
          </w:tcPr>
          <w:p>
            <w:pPr>
              <w:spacing w:after="0"/>
              <w:rPr>
                <w:sz w:val="1"/>
                <w:szCs w:val="1"/>
                <w:color w:val="auto"/>
              </w:rPr>
            </w:pPr>
          </w:p>
        </w:tc>
      </w:tr>
      <w:tr>
        <w:trPr>
          <w:trHeight w:val="240"/>
        </w:trPr>
        <w:tc>
          <w:tcPr>
            <w:tcW w:w="29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Assets—Interest rate swap contract</w:t>
            </w:r>
          </w:p>
        </w:tc>
        <w:tc>
          <w:tcPr>
            <w:tcW w:w="1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1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1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0" w:type="dxa"/>
            <w:vAlign w:val="bottom"/>
          </w:tcPr>
          <w:p>
            <w:pPr>
              <w:spacing w:after="0"/>
              <w:rPr>
                <w:sz w:val="1"/>
                <w:szCs w:val="1"/>
                <w:color w:val="auto"/>
              </w:rPr>
            </w:pPr>
          </w:p>
        </w:tc>
      </w:tr>
      <w:tr>
        <w:trPr>
          <w:trHeight w:val="232"/>
        </w:trPr>
        <w:tc>
          <w:tcPr>
            <w:tcW w:w="29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Liabilities—Convertible notes</w:t>
            </w:r>
          </w:p>
        </w:tc>
        <w:tc>
          <w:tcPr>
            <w:tcW w:w="440" w:type="dxa"/>
            <w:vAlign w:val="bottom"/>
            <w:gridSpan w:val="3"/>
            <w:shd w:val="clear" w:color="auto" w:fill="E6E6E6"/>
          </w:tcPr>
          <w:p>
            <w:pPr>
              <w:jc w:val="right"/>
              <w:ind w:right="98"/>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472,770</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472,770</w:t>
            </w:r>
          </w:p>
        </w:tc>
        <w:tc>
          <w:tcPr>
            <w:tcW w:w="420" w:type="dxa"/>
            <w:vAlign w:val="bottom"/>
            <w:gridSpan w:val="3"/>
            <w:shd w:val="clear" w:color="auto" w:fill="E6E6E6"/>
          </w:tcPr>
          <w:p>
            <w:pPr>
              <w:jc w:val="right"/>
              <w:ind w:right="78"/>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1,005,418</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1,005,418</w:t>
            </w:r>
          </w:p>
        </w:tc>
        <w:tc>
          <w:tcPr>
            <w:tcW w:w="0" w:type="dxa"/>
            <w:vAlign w:val="bottom"/>
          </w:tcPr>
          <w:p>
            <w:pPr>
              <w:spacing w:after="0"/>
              <w:rPr>
                <w:sz w:val="1"/>
                <w:szCs w:val="1"/>
                <w:color w:val="auto"/>
              </w:rPr>
            </w:pPr>
          </w:p>
        </w:tc>
      </w:tr>
      <w:tr>
        <w:trPr>
          <w:trHeight w:val="29"/>
        </w:trPr>
        <w:tc>
          <w:tcPr>
            <w:tcW w:w="2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Liabilities—Contingent</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restart"/>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restart"/>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19,086</w:t>
            </w:r>
          </w:p>
        </w:tc>
        <w:tc>
          <w:tcPr>
            <w:tcW w:w="160" w:type="dxa"/>
            <w:vAlign w:val="bottom"/>
            <w:vMerge w:val="restart"/>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19,086</w:t>
            </w:r>
          </w:p>
        </w:tc>
        <w:tc>
          <w:tcPr>
            <w:tcW w:w="160" w:type="dxa"/>
            <w:vAlign w:val="bottom"/>
            <w:vMerge w:val="restart"/>
          </w:tcPr>
          <w:p>
            <w:pPr>
              <w:spacing w:after="0"/>
              <w:rPr>
                <w:sz w:val="18"/>
                <w:szCs w:val="18"/>
                <w:color w:val="auto"/>
              </w:rPr>
            </w:pPr>
          </w:p>
        </w:tc>
        <w:tc>
          <w:tcPr>
            <w:tcW w:w="26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restart"/>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vMerge w:val="restart"/>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18,112</w:t>
            </w:r>
          </w:p>
        </w:tc>
        <w:tc>
          <w:tcPr>
            <w:tcW w:w="140" w:type="dxa"/>
            <w:vAlign w:val="bottom"/>
            <w:vMerge w:val="restart"/>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18,112</w:t>
            </w:r>
          </w:p>
        </w:tc>
        <w:tc>
          <w:tcPr>
            <w:tcW w:w="0" w:type="dxa"/>
            <w:vAlign w:val="bottom"/>
          </w:tcPr>
          <w:p>
            <w:pPr>
              <w:spacing w:after="0"/>
              <w:rPr>
                <w:sz w:val="1"/>
                <w:szCs w:val="1"/>
                <w:color w:val="auto"/>
              </w:rPr>
            </w:pPr>
          </w:p>
        </w:tc>
      </w:tr>
      <w:tr>
        <w:trPr>
          <w:trHeight w:val="260"/>
        </w:trPr>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consideration</w:t>
            </w:r>
          </w:p>
        </w:tc>
        <w:tc>
          <w:tcPr>
            <w:tcW w:w="16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20" w:type="dxa"/>
            <w:vAlign w:val="bottom"/>
            <w:tcBorders>
              <w:bottom w:val="single" w:sz="8" w:color="auto"/>
            </w:tcBorders>
            <w:gridSpan w:val="2"/>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260" w:type="dxa"/>
            <w:vAlign w:val="bottom"/>
            <w:tcBorders>
              <w:bottom w:val="single" w:sz="8" w:color="auto"/>
            </w:tcBorders>
            <w:gridSpan w:val="2"/>
            <w:vMerge w:val="continue"/>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20" w:type="dxa"/>
            <w:vAlign w:val="bottom"/>
            <w:tcBorders>
              <w:bottom w:val="single" w:sz="8" w:color="auto"/>
            </w:tcBorders>
            <w:gridSpan w:val="2"/>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Derivative Instruments and Hedging Activity</w:t>
      </w:r>
      <w:r>
        <w:rPr>
          <w:rFonts w:ascii="Times New Roman" w:cs="Times New Roman" w:eastAsia="Times New Roman" w:hAnsi="Times New Roman"/>
          <w:sz w:val="20"/>
          <w:szCs w:val="20"/>
          <w:color w:val="auto"/>
        </w:rPr>
        <w:t>— Our use of derivatives consists of foreign currency forward contracts, a cross-currency interest rate swap contract and an interest rate swap agreement. Our foreign currency forward contracts are utilized to partially mitigate certain balance sheet exposures or used as a net investment hedge to protect against potential changes resulting from short-term foreign currency fluctuations. These contracts have original maturities of up to three months. We use a cross-currency interest rate swap contract to hedge our net investment in a foreign subsidiary.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spacing w:after="0" w:line="20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net gains or losses from our foreign currency forward contracts, which are not designated as hedge instruments, are reported in the consolidated statements of operations, and the amounts reported for the years ending June 30, 2024, 2025 and 2026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2025 and 2026, we held foreign currency forward contracts with notional amounts totaling $99.9 million and $138.0 million, respectively. Unrealized gains and losses from our foreign currency forward contracts as of June 30, 2025 and 2026 were not significant.</w:t>
      </w:r>
    </w:p>
    <w:p>
      <w:pPr>
        <w:spacing w:after="0" w:line="19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We entered into a cross-currency interest rate swap contract in June 2026, which matures in June 2027. The net gains or losses from our cross-currency interest rate swap contract, which is designated as a net investment hedge instrument in a foreign subsidiary, are reported in accumulated other comprehensive loss in the consolidated statements of stockholders’ equity, and the amounts reported for the fiscal year ended June 30, 2026 was not significant. The fair value of our cross-currency interest rate swap contract is estimated using a standard valuation model and market-based observable inputs over the contractual term. Unrealized gains are recognized as assets and unrealized losses are recognized as liabilities. As of June 30, 2026, the notional amount of this contract was $35.0 million. The unrealized gain from our cross-currency interest rate swap contract as of June 30, 2026 was not significant. The net interest rate benefit from this contract recognized in interest and other expense, net was not significant for the fiscal year ended June 30, 2026.</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800"/>
          </w:cols>
          <w:pgMar w:left="540" w:top="846" w:right="540" w:bottom="7" w:gutter="0" w:footer="0" w:header="0"/>
          <w:type w:val="continuous"/>
        </w:sectPr>
      </w:pPr>
    </w:p>
    <w:bookmarkStart w:id="77" w:name="page78"/>
    <w:bookmarkEnd w:id="77"/>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1"/>
        <w:spacing w:after="0" w:line="260" w:lineRule="auto"/>
        <w:rPr>
          <w:sz w:val="20"/>
          <w:szCs w:val="20"/>
          <w:color w:val="auto"/>
        </w:rPr>
      </w:pPr>
      <w:r>
        <w:rPr>
          <w:rFonts w:ascii="Times New Roman" w:cs="Times New Roman" w:eastAsia="Times New Roman" w:hAnsi="Times New Roman"/>
          <w:sz w:val="19"/>
          <w:szCs w:val="19"/>
          <w:color w:val="auto"/>
        </w:rPr>
        <w:t>The interest rate swap agreement was entered into to improve the predictability of cash flows from interest payments related to our variable, Secured Overnight Financing Rate (“SOFR”) 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 As of June 30, 2025 and June 30, 2026, the notional amount of the interest rate swap hedge derivative instrument was $175 million. The fair value of the interest rate swap contract as of June 30, 2025 and June 30, 2026 is recorded in Other assets within the consolidated balance sheet.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effect of the cash flow hedge on other comprehensive income (loss) and earnings for the periods presented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Fiscal Year Ended June 30,</w:t>
            </w:r>
          </w:p>
        </w:tc>
      </w:tr>
      <w:tr>
        <w:trPr>
          <w:trHeight w:val="174"/>
        </w:trPr>
        <w:tc>
          <w:tcPr>
            <w:tcW w:w="8240" w:type="dxa"/>
            <w:vAlign w:val="bottom"/>
            <w:tcBorders>
              <w:bottom w:val="single" w:sz="8" w:color="E6E6E6"/>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2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E6E6E6"/>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25"/>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5"/>
                <w:szCs w:val="15"/>
                <w:color w:val="auto"/>
              </w:rPr>
            </w:pPr>
          </w:p>
        </w:tc>
      </w:tr>
      <w:tr>
        <w:trPr>
          <w:trHeight w:val="220"/>
        </w:trPr>
        <w:tc>
          <w:tcPr>
            <w:tcW w:w="82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 interest and other expense, net presented in the condensed consolidated statements of</w:t>
            </w:r>
          </w:p>
        </w:tc>
        <w:tc>
          <w:tcPr>
            <w:tcW w:w="2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824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operations in which the effects of cash flow hedges are recorded</w:t>
            </w:r>
          </w:p>
        </w:tc>
        <w:tc>
          <w:tcPr>
            <w:tcW w:w="2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(31,430)</w:t>
            </w:r>
          </w:p>
        </w:tc>
        <w:tc>
          <w:tcPr>
            <w:tcW w:w="26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(26,224)</w:t>
            </w:r>
          </w:p>
        </w:tc>
        <w:tc>
          <w:tcPr>
            <w:tcW w:w="20" w:type="dxa"/>
            <w:vAlign w:val="bottom"/>
          </w:tcPr>
          <w:p>
            <w:pPr>
              <w:spacing w:after="0"/>
              <w:rPr>
                <w:sz w:val="20"/>
                <w:szCs w:val="20"/>
                <w:color w:val="auto"/>
              </w:rPr>
            </w:pPr>
          </w:p>
        </w:tc>
      </w:tr>
      <w:tr>
        <w:trPr>
          <w:trHeight w:val="232"/>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Hedge loss recognized in other comprehensive income (loss), net of tax</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(2,876)</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0"/>
                <w:szCs w:val="20"/>
                <w:color w:val="auto"/>
              </w:rPr>
            </w:pPr>
          </w:p>
        </w:tc>
      </w:tr>
      <w:tr>
        <w:trPr>
          <w:trHeight w:val="230"/>
        </w:trPr>
        <w:tc>
          <w:tcPr>
            <w:tcW w:w="8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Hedge benefit reclassified from accumulated other comprehensive income (loss) to interest</w:t>
            </w:r>
          </w:p>
        </w:tc>
        <w:tc>
          <w:tcPr>
            <w:tcW w:w="22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824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expense, net</w:t>
            </w:r>
          </w:p>
        </w:tc>
        <w:tc>
          <w:tcPr>
            <w:tcW w:w="2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2,443</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20" w:type="dxa"/>
            <w:vAlign w:val="bottom"/>
          </w:tcPr>
          <w:p>
            <w:pPr>
              <w:spacing w:after="0"/>
              <w:rPr>
                <w:sz w:val="19"/>
                <w:szCs w:val="19"/>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00"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We recognize revenue under Accounting Standards Codification Topic 606, Revenue from Contracts with Customers (“ASC 606”), which superseded all prior revenue recognition methods and industry-specific guidance. The core principle of ASC 606 is that an entity should recognize revenue to depict the transfer of control for promised goods or services to customers in an amount that reflects the consideration to which the entity expects to be entitled in exchange for those goods or services. In applying the revenue recognition principles, an entity is required to identify the contract(s) with a customer, identify the performance obligations, determine the transaction price, allocate the transaction price to the performance obligations and recognize revenue as the performance obligations are satisfied (i.e., either over time or at a point in time). ASC 606 further requires that companies disclose sufficient information to enable readers of financial statements to understand the nature, amount, timing and uncertainty of revenue and cash flows arising from contracts with customers.</w:t>
      </w:r>
    </w:p>
    <w:p>
      <w:pPr>
        <w:spacing w:after="0" w:line="16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Product Sales. </w:t>
      </w:r>
      <w:r>
        <w:rPr>
          <w:rFonts w:ascii="Times New Roman" w:cs="Times New Roman" w:eastAsia="Times New Roman" w:hAnsi="Times New Roman"/>
          <w:sz w:val="19"/>
          <w:szCs w:val="19"/>
          <w:color w:val="auto"/>
        </w:rPr>
        <w:t>We recognize revenue from sales of products upon shipment or delivery when control of the product transfers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customer, depending on the terms of each sale, and when collection is probable. We generally offer customers payment terms of less than one year. In cases when payment terms extend beyond one year, we consider whether the contract has a significant financing component. In the circumstance where terms of a product sale include subjective customer acceptance criteria, revenue is deferred until we have achieved the customer acceptance criteria unless such acceptance criteria are perfunctory or inconsequential. On occasion, customers request that completed products be held for future delivery for the customers’ convenience under bill-and-hold arrangements due to site readiness, installation scheduling, importation, or other customer- specific considerations. Determining whether control transfers before physical possession in these bill-and-hold arrangements requires significant judgment. We recognize revenue only when the bill-and-hold criteria in ASC 606 are met, including that the products are separately identified, ready for shipment, and cannot be redirected to another customer. Any storage provided after control transfers is not a separate performance obligation. We recognized bill-and-hold revenues of $64.7 million, $19.1 million and $5.5 million for the fiscal years ended June 30, 2026, 2025 and 2024 respectively. The increase in fiscal year 2026 compared to fiscal year 2025 was primarily attributable to customer -requested shipment delays from site readiness and delivery constraints on certain contracts in the Security division for infrastructure and border security projects. The increase in fiscal year 2025 compared to fiscal year 2024 was primarily due to customer-requested shipment delays from site readiness and delivery constraints on certain contracts in the Security division for border security projects.</w:t>
      </w:r>
    </w:p>
    <w:p>
      <w:pPr>
        <w:spacing w:after="0" w:line="15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Service Revenue. </w:t>
      </w:r>
      <w:r>
        <w:rPr>
          <w:rFonts w:ascii="Times New Roman" w:cs="Times New Roman" w:eastAsia="Times New Roman" w:hAnsi="Times New Roman"/>
          <w:sz w:val="20"/>
          <w:szCs w:val="20"/>
          <w:color w:val="auto"/>
        </w:rPr>
        <w:t>Revenue from services includes installation and implementation of products and turnkey security screening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and after-market services. Generally, revenue from services is recognized over time as the services are performed. Revenues from out of warranty service maintenance contracts are recognized ratably over the respective terms of such contracts. Deferred revenue for such services arises from payments received from customers for services not yet performed.</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800"/>
          </w:cols>
          <w:pgMar w:left="540" w:top="846" w:right="540" w:bottom="7" w:gutter="0" w:footer="0" w:header="0"/>
          <w:type w:val="continuous"/>
        </w:sectPr>
      </w:pPr>
    </w:p>
    <w:bookmarkStart w:id="78" w:name="page79"/>
    <w:bookmarkEnd w:id="78"/>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1"/>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Contract Revenue. </w:t>
      </w:r>
      <w:r>
        <w:rPr>
          <w:rFonts w:ascii="Times New Roman" w:cs="Times New Roman" w:eastAsia="Times New Roman" w:hAnsi="Times New Roman"/>
          <w:sz w:val="20"/>
          <w:szCs w:val="20"/>
          <w:color w:val="auto"/>
        </w:rPr>
        <w:t>Sales agreements with customers can be project specific, cover a period of time, and can be renewable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periodically. The contracts may contain terms and conditions with respect to payment, delivery, installation, services, warranty and other rights. In certain instances, we consider an accepted customer order, governed by a master sales agreement, to be the contract with the customer when legal rights and obligations exist. Contracts with customers may include the sale of products and services, as discussed in the paragraphs above. In certain instances, contracts can contain multiple performance obligations as discussed in the paragraph below. According to the terms of a sale contract, we may receive consideration from a customer prior to transferring goods to the customer, and we record these prepayments as an advance receipt. We also record deferred revenue, typically related to service contracts, when consideration is received before the services have been performed. We recognize contract liabilities and deferred revenue as net sales after all revenue recognition criteria are met.</w:t>
      </w:r>
    </w:p>
    <w:p>
      <w:pPr>
        <w:spacing w:after="0" w:line="165"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When determining revenue recognition for contracts, we make judgments based on our understanding of the obligations in each contract. We determine whether or not customer acceptance criteria are perfunctory or inconsequential. The determination of whether or not customer acceptance terms are perfunctory or inconsequential impacts the amount and timing of revenue recognition. Judgments also include estimates of warranty reserves, which are established based on historical experience and knowledge of the product under warranty.</w:t>
      </w:r>
    </w:p>
    <w:p>
      <w:pPr>
        <w:spacing w:after="0" w:line="15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Multiple Performance Obligations. </w:t>
      </w:r>
      <w:r>
        <w:rPr>
          <w:rFonts w:ascii="Times New Roman" w:cs="Times New Roman" w:eastAsia="Times New Roman" w:hAnsi="Times New Roman"/>
          <w:sz w:val="20"/>
          <w:szCs w:val="20"/>
          <w:color w:val="auto"/>
        </w:rPr>
        <w:t>Certain agreements with customers include the sale of capital equipment involving multiple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elements that may include civil works to prepare a site for the installation of equipment, manufacture and delivery of equipment, installation and integration of equipment, training of customer personnel to operate the equipment and after-market service of the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cases where obligations in a contract are distinct and thus require separation into multiple performance obligations, revenue recognition guidance requires that contract consideration be allocated to each distinct performance obligation based on its relative standalone selling price. The value allocated to each performance obligation is then recognized as revenue when the revenue recognition criteria for each distinct obligation or bundle of obligations has been met.</w:t>
      </w:r>
    </w:p>
    <w:p>
      <w:pPr>
        <w:spacing w:after="0" w:line="195"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The standalone selling price for each performance obligation is an amount that depicts the amount of consideration to which the entity expects to be entitled in exchange for transferring the good or service. When there is only one performance obligation associated with a contract, the entire sale value is attributed to that obligation. When a contract contains multiple performance obligations, the standalone selling price is first estimated using the observable price, which is generally a list price net of applicable discount, or the price used to sell the good or service in similar circumstances. In circumstances when a selling price is not directly observable, we will estimate the standalone selling price using information available to us including our market assessment and/or expected cost plus margin.</w:t>
      </w:r>
    </w:p>
    <w:p>
      <w:pPr>
        <w:spacing w:after="0" w:line="199" w:lineRule="exact"/>
        <w:rPr>
          <w:sz w:val="20"/>
          <w:szCs w:val="20"/>
          <w:color w:val="auto"/>
        </w:rPr>
      </w:pPr>
    </w:p>
    <w:p>
      <w:pPr>
        <w:jc w:val="both"/>
        <w:ind w:firstLine="721"/>
        <w:spacing w:after="0" w:line="247" w:lineRule="auto"/>
        <w:rPr>
          <w:sz w:val="20"/>
          <w:szCs w:val="20"/>
          <w:color w:val="auto"/>
        </w:rPr>
      </w:pPr>
      <w:r>
        <w:rPr>
          <w:rFonts w:ascii="Times New Roman" w:cs="Times New Roman" w:eastAsia="Times New Roman" w:hAnsi="Times New Roman"/>
          <w:sz w:val="20"/>
          <w:szCs w:val="20"/>
          <w:color w:val="auto"/>
        </w:rPr>
        <w:t>The timetable for fulfilment of each of the distinct performance obligations can range from completion in a short amount of time and entirely within a single reporting period to completion over several reporting periods. The timing of revenue recognition for each performance obligation may be dependent upon several milestones, including physical delivery of equipment, completion of factory acceptance test, completion of site acceptance test, installation and connectivity of equipment, certification of training of personnel and, in the case of after-market service deliverables, the passage of time (typically evenly over the post-warranty period of the service deliverable).</w:t>
      </w:r>
    </w:p>
    <w:p>
      <w:pPr>
        <w:spacing w:after="0" w:line="20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often provide a guarantee to support our performance under multiple performance obligations. In the event that customers are permitted to terminate such arrangements, the underlying contract typically requires payment for deliverables and reimbursement of costs incurred through the date of termination.</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disaggregate revenue by reporting segment (Security, Optoelectronics and Manufacturing, and Healthcare) to depict the nature of revenue in a manner consistent with our business operations and to be consistent with other communications and public filings. Refer to Note 14 for additional details of revenues by reporting segment.</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800"/>
          </w:cols>
          <w:pgMar w:left="540" w:top="846" w:right="540" w:bottom="7" w:gutter="0" w:footer="0" w:header="0"/>
          <w:type w:val="continuous"/>
        </w:sectPr>
      </w:pPr>
    </w:p>
    <w:bookmarkStart w:id="79" w:name="page80"/>
    <w:bookmarkEnd w:id="79"/>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Contract Assets and Liabilities. </w:t>
      </w:r>
      <w:r>
        <w:rPr>
          <w:rFonts w:ascii="Times New Roman" w:cs="Times New Roman" w:eastAsia="Times New Roman" w:hAnsi="Times New Roman"/>
          <w:sz w:val="20"/>
          <w:szCs w:val="20"/>
          <w:color w:val="auto"/>
        </w:rPr>
        <w:t>We enter into contracts to sell products and provide services, and we recognize contract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liabilities that arise from these transactions. We recognize revenue and corresponding accounts receivable according to ASC 606. When we recognize revenue in advance of the point in time at which contracts give us the right to invoice a customer, we record this as unbilled revenue, which is included in accounts receivable, net, on the consolidated balance sheet. We may also receive consideration, per the terms of a contract, from customers prior to transferring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We recognize these contract liabilities as sales after all revenue recognition criteria are met.</w:t>
      </w:r>
    </w:p>
    <w:p>
      <w:pPr>
        <w:spacing w:after="0" w:line="20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Practical Expedients. </w:t>
      </w:r>
      <w:r>
        <w:rPr>
          <w:rFonts w:ascii="Times New Roman" w:cs="Times New Roman" w:eastAsia="Times New Roman" w:hAnsi="Times New Roman"/>
          <w:sz w:val="20"/>
          <w:szCs w:val="20"/>
          <w:color w:val="auto"/>
        </w:rPr>
        <w:t>In cases where we are responsible for shipping after the customer has obtained control of the goods,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Freight</w:t>
      </w:r>
      <w:r>
        <w:rPr>
          <w:rFonts w:ascii="Times New Roman" w:cs="Times New Roman" w:eastAsia="Times New Roman" w:hAnsi="Times New Roman"/>
          <w:sz w:val="20"/>
          <w:szCs w:val="20"/>
          <w:color w:val="auto"/>
        </w:rPr>
        <w:t>—We record shipping and handling fees that we charge to our customers as revenue and related costs as cost of goods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sold.</w:t>
      </w:r>
    </w:p>
    <w:p>
      <w:pPr>
        <w:spacing w:after="0" w:line="21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r>
        <w:rPr>
          <w:rFonts w:ascii="Times New Roman" w:cs="Times New Roman" w:eastAsia="Times New Roman" w:hAnsi="Times New Roman"/>
          <w:sz w:val="20"/>
          <w:szCs w:val="20"/>
          <w:color w:val="auto"/>
        </w:rPr>
        <w:t>—Research and development costs are those costs related to the development of a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process or service, or significant improvement to an existing product, process or service. Such costs are charged to operations as incurred.</w:t>
      </w:r>
    </w:p>
    <w:p>
      <w:pPr>
        <w:spacing w:after="0" w:line="186"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—Stock-based compensation cost is measured at the grant date based on the estimated fair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award and is recognized as expense over the employee’s requisite service period for all stock-based awards granted or modified. Certain restricted stock unit awards vest based on the achievement of pre-established performance criteria. The fair value of performance-based awards is estimated at the date of grant based upon the probability that the specified performance criteria will be met, adjusted for estimated forfeitures. Each quarter we update our assessment of the probability that the specified performance criteria will be achieved and adjust the estimate of the expenses of the performance-based awards if necessary. We amortize the fair value of performance-based awards over the requisite service period for each separately vesting tranche of the award. See Note 9 to the consolidated financial statements.</w:t>
      </w:r>
    </w:p>
    <w:p>
      <w:pPr>
        <w:spacing w:after="0" w:line="20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Impairment, Restructuring and Other Charges</w:t>
      </w:r>
      <w:r>
        <w:rPr>
          <w:rFonts w:ascii="Times New Roman" w:cs="Times New Roman" w:eastAsia="Times New Roman" w:hAnsi="Times New Roman"/>
          <w:sz w:val="20"/>
          <w:szCs w:val="20"/>
          <w:color w:val="auto"/>
        </w:rPr>
        <w:t>—We account for certain charges related to restructuring activities, litigation,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acquisition-related costs and other non-routine charges as Impairment, restructuring and other charges in the consolidated financial statements. See Note 7 for additional information about these charges.</w:t>
      </w:r>
    </w:p>
    <w:p>
      <w:pPr>
        <w:spacing w:after="0" w:line="185"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Credit Risk and Concentration</w:t>
      </w:r>
      <w:r>
        <w:rPr>
          <w:rFonts w:ascii="Times New Roman" w:cs="Times New Roman" w:eastAsia="Times New Roman" w:hAnsi="Times New Roman"/>
          <w:sz w:val="20"/>
          <w:szCs w:val="20"/>
          <w:color w:val="auto"/>
        </w:rPr>
        <w:t>— Financial instruments that are potentially subject to concentrations of credit risk consist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of cash, cash equivalents, marketable securities and accounts receivable. We restrict investments in cash equivalents to financial institutions with high credit standing. Credit risk on accounts receivable is minimized as a result of the large and diverse nature of our company’s worldwide customer base. As of June 30, 2025, one customer in the Security division accounted for 42% of accounts receivable, net. As of June 30, 2026, one customer in the Security division accounted for 25% of accounts receivable, net. In fiscal year 2025, one Security division customer accounted for 11% of net revenues. In fiscal year 2026, no customer accounted for greater than 10% of net revenues. We perform ongoing credit evaluations of our customers’ financial condition and maintain allowances for potential credit losses.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cash and cash equivalents totaled $106.4 million and $359.8 million at June 30, 2025 and 2026, respectively. Of these</w:t>
      </w:r>
    </w:p>
    <w:p>
      <w:pPr>
        <w:spacing w:after="0" w:line="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amounts, approximately 78% and 23% were held by our foreign subsidiaries at June 30, 2025 and 2026, respectively</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and are subject to repatriation tax considerations. These foreign funds were held primarily by our subsidiaries in India, United Kingdom, Singapore, Canada, and Malaysia. We have cash holdings in financial institutions that exceed insured limits for such financial institutions; however, we mitigate this risk by utilizing international financial institutions of high credit quality.</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800"/>
          </w:cols>
          <w:pgMar w:left="540" w:top="846" w:right="540" w:bottom="7" w:gutter="0" w:footer="0" w:header="0"/>
          <w:type w:val="continuous"/>
        </w:sectPr>
      </w:pPr>
    </w:p>
    <w:bookmarkStart w:id="80" w:name="page81"/>
    <w:bookmarkEnd w:id="80"/>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For cost, quality control, technological, and efficiency reasons, we purchase certain materials, parts, and components only from single vendors with whom we have ongoing relationships. We do, however, qualify second sources for many of our materials, parts, and components. While management believes that relying on key vendors improves the efficiency and reliability of business operations, relying on any one vendor for a significant aspect of business can have a significant negative impact on revenue and profitability if that vendor fails to perform at acceptable service levels for any reason, including financial difficulties of the vendor.</w:t>
      </w:r>
    </w:p>
    <w:p>
      <w:pPr>
        <w:spacing w:after="0" w:line="19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Foreign Currency Translation and Transactions</w:t>
      </w:r>
      <w:r>
        <w:rPr>
          <w:rFonts w:ascii="Times New Roman" w:cs="Times New Roman" w:eastAsia="Times New Roman" w:hAnsi="Times New Roman"/>
          <w:sz w:val="20"/>
          <w:szCs w:val="20"/>
          <w:color w:val="auto"/>
        </w:rPr>
        <w:t>— We transact business in various foreign currencies. In countries where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functional currency of the underlying operations has been determined to be the local country’s currency, revenues and expenses of operations outside the United States are translated into United States dollars using average exchange rates while assets and liabilities of operations outside the United States are translated into United States dollars using period-end exchange rates. The effects of foreign currency translation adjustments are included in stockholders’ equity as a component of accumulated other comprehensive income (loss) in the accompanying consolidated balance sheets. We also have subsidiaries where the United States dollar has been designated as the functional currency based on individual facts and circumstances. Remeasurement of non-United States dollar monetary assets and liabilities are translated using period-end exchange rates and associated gains and losses are recognized in the consolidated statements of operations. Non-monetary assets and liabilities are translated using historical exchange rates. Foreign currency losses which were included in our consolidated statement of operations, amounted to approximately $5.1 million, $12.7 million and $1.6 million for the fiscal years ended June 30, 2024, 2025 and 2026, respectively.</w:t>
      </w:r>
    </w:p>
    <w:p>
      <w:pPr>
        <w:spacing w:after="0" w:line="209"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—Under ASC 805, the acquisition method of accounting requires us to record assets acquired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as additional information that existed at the acquisition date becomes available for preliminary estimates, we may record adjustments to the provisional amounts initially recorded for assets acquired and liabilities assumed. Upon the conclusion of the measurement period, any subsequent adjustments are included in earnings.</w:t>
      </w:r>
    </w:p>
    <w:p>
      <w:pPr>
        <w:spacing w:after="0" w:line="20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Earnings per Share</w:t>
      </w:r>
      <w:r>
        <w:rPr>
          <w:rFonts w:ascii="Times New Roman" w:cs="Times New Roman" w:eastAsia="Times New Roman" w:hAnsi="Times New Roman"/>
          <w:sz w:val="20"/>
          <w:szCs w:val="20"/>
          <w:color w:val="auto"/>
        </w:rPr>
        <w:t>—We compute basic earnings per share by dividing net income available to common stockholders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2.25% convertible senior notes due 2029 (the “2029 Notes”) and the 0.50% convertible senior notes due 2031 (the “2031 Notes”) will have a net impact on diluted earnings per share when the average price of our common stock exceeds the conversion price of $191.98 for the 2029 Notes and $353.82 for the 2031 Notes because the principal amounts of the respective convertible senior notes will be settled in cash upon conversion. There was a dilutive effect of the 2029 Notes as set forth in the table below for the fiscal year ended June 30, 2026. There was no dilutive impact of the 2031 Notes.</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10800"/>
          </w:cols>
          <w:pgMar w:left="540" w:top="846" w:right="540" w:bottom="7" w:gutter="0" w:footer="0" w:header="0"/>
          <w:type w:val="continuous"/>
        </w:sectPr>
      </w:pPr>
    </w:p>
    <w:bookmarkStart w:id="81" w:name="page82"/>
    <w:bookmarkEnd w:id="81"/>
    <w:p>
      <w:pPr>
        <w:ind w:left="3500"/>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following table sets forth the computation of basic and diluted earnings per share (in thousands, except per share amounts):</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9"/>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Fiscal Year Ended June 30,</w:t>
            </w:r>
          </w:p>
        </w:tc>
      </w:tr>
      <w:tr>
        <w:trPr>
          <w:trHeight w:val="174"/>
        </w:trPr>
        <w:tc>
          <w:tcPr>
            <w:tcW w:w="578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2"/>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9"/>
        </w:trPr>
        <w:tc>
          <w:tcPr>
            <w:tcW w:w="580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income available to common stockholders</w:t>
            </w:r>
          </w:p>
        </w:tc>
        <w:tc>
          <w:tcPr>
            <w:tcW w:w="8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128,154</w:t>
            </w:r>
          </w:p>
        </w:tc>
        <w:tc>
          <w:tcPr>
            <w:tcW w:w="28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149,637</w:t>
            </w:r>
          </w:p>
        </w:tc>
        <w:tc>
          <w:tcPr>
            <w:tcW w:w="28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154,711</w:t>
            </w:r>
          </w:p>
        </w:tc>
      </w:tr>
      <w:tr>
        <w:trPr>
          <w:trHeight w:val="232"/>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shares outstanding—basic</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16,584</w:t>
            </w:r>
          </w:p>
        </w:tc>
      </w:tr>
      <w:tr>
        <w:trPr>
          <w:trHeight w:val="229"/>
        </w:trPr>
        <w:tc>
          <w:tcPr>
            <w:tcW w:w="5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Dilutive effect of equity awards</w:t>
            </w:r>
          </w:p>
        </w:tc>
        <w:tc>
          <w:tcPr>
            <w:tcW w:w="140" w:type="dxa"/>
            <w:vAlign w:val="bottom"/>
            <w:shd w:val="clear" w:color="auto" w:fill="E6E6E6"/>
          </w:tcPr>
          <w:p>
            <w:pPr>
              <w:spacing w:after="0"/>
              <w:rPr>
                <w:sz w:val="19"/>
                <w:szCs w:val="19"/>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265</w:t>
            </w:r>
          </w:p>
        </w:tc>
      </w:tr>
      <w:tr>
        <w:trPr>
          <w:trHeight w:val="230"/>
        </w:trPr>
        <w:tc>
          <w:tcPr>
            <w:tcW w:w="58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Dilutive effect of 2029 Notes</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r>
      <w:tr>
        <w:trPr>
          <w:trHeight w:val="229"/>
        </w:trPr>
        <w:tc>
          <w:tcPr>
            <w:tcW w:w="580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Weighted average shares outstanding—diluted</w:t>
            </w:r>
          </w:p>
        </w:tc>
        <w:tc>
          <w:tcPr>
            <w:tcW w:w="140" w:type="dxa"/>
            <w:vAlign w:val="bottom"/>
            <w:tcBorders>
              <w:bottom w:val="single" w:sz="8" w:color="auto"/>
            </w:tcBorders>
            <w:shd w:val="clear" w:color="auto" w:fill="E6E6E6"/>
          </w:tcPr>
          <w:p>
            <w:pPr>
              <w:spacing w:after="0"/>
              <w:rPr>
                <w:sz w:val="19"/>
                <w:szCs w:val="19"/>
                <w:color w:val="auto"/>
              </w:rPr>
            </w:pPr>
          </w:p>
        </w:tc>
        <w:tc>
          <w:tcPr>
            <w:tcW w:w="6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17,354</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17,178</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17,280</w:t>
            </w:r>
          </w:p>
        </w:tc>
      </w:tr>
      <w:tr>
        <w:trPr>
          <w:trHeight w:val="239"/>
        </w:trPr>
        <w:tc>
          <w:tcPr>
            <w:tcW w:w="58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40"/>
        </w:trPr>
        <w:tc>
          <w:tcPr>
            <w:tcW w:w="5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8.95</w:t>
            </w:r>
          </w:p>
        </w:tc>
      </w:tr>
      <w:tr>
        <w:trPr>
          <w:trHeight w:val="211"/>
        </w:trPr>
        <w:tc>
          <w:tcPr>
            <w:tcW w:w="580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Weighted average shares excluded from diluted earnings per share</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60"/>
        </w:trPr>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due to their anti-dilutive effect</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bl>
    <w:p>
      <w:pPr>
        <w:spacing w:after="0" w:line="21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Warranty Provision</w:t>
      </w:r>
      <w:r>
        <w:rPr>
          <w:rFonts w:ascii="Times New Roman" w:cs="Times New Roman" w:eastAsia="Times New Roman" w:hAnsi="Times New Roman"/>
          <w:sz w:val="19"/>
          <w:szCs w:val="19"/>
          <w:color w:val="auto"/>
        </w:rPr>
        <w:t>—We offer our customers warranties on many of the products that we sell. These warranties typically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 whose activity for each of the three fiscal years ended June 30, 2026 is summarized in the following table (in thousands):</w:t>
      </w:r>
    </w:p>
    <w:p>
      <w:pPr>
        <w:spacing w:after="0" w:line="21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Warranty provision as of June 30, 2023</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11,149</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Warranty claims provided for/assumed in acquisition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5,878</w:t>
            </w:r>
          </w:p>
        </w:tc>
      </w:tr>
      <w:tr>
        <w:trPr>
          <w:trHeight w:val="230"/>
        </w:trPr>
        <w:tc>
          <w:tcPr>
            <w:tcW w:w="74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Settlements made</w:t>
            </w:r>
          </w:p>
        </w:tc>
        <w:tc>
          <w:tcPr>
            <w:tcW w:w="20" w:type="dxa"/>
            <w:vAlign w:val="bottom"/>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spacing w:after="0"/>
              <w:rPr>
                <w:sz w:val="20"/>
                <w:szCs w:val="20"/>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(5,938)</w:t>
            </w:r>
          </w:p>
        </w:tc>
      </w:tr>
      <w:tr>
        <w:trPr>
          <w:trHeight w:val="220"/>
        </w:trPr>
        <w:tc>
          <w:tcPr>
            <w:tcW w:w="7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Warranty provision as of June 30, 2024</w:t>
            </w:r>
          </w:p>
        </w:tc>
        <w:tc>
          <w:tcPr>
            <w:tcW w:w="20" w:type="dxa"/>
            <w:vAlign w:val="bottom"/>
          </w:tcPr>
          <w:p>
            <w:pPr>
              <w:spacing w:after="0"/>
              <w:rPr>
                <w:sz w:val="19"/>
                <w:szCs w:val="19"/>
                <w:color w:val="auto"/>
              </w:rPr>
            </w:pPr>
          </w:p>
        </w:tc>
        <w:tc>
          <w:tcPr>
            <w:tcW w:w="32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11,089</w:t>
            </w:r>
          </w:p>
        </w:tc>
      </w:tr>
      <w:tr>
        <w:trPr>
          <w:trHeight w:val="230"/>
        </w:trPr>
        <w:tc>
          <w:tcPr>
            <w:tcW w:w="74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Warranty claims provided for/assumed in acquisition</w:t>
            </w: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5,704</w:t>
            </w:r>
          </w:p>
        </w:tc>
      </w:tr>
      <w:tr>
        <w:trPr>
          <w:trHeight w:val="229"/>
        </w:trPr>
        <w:tc>
          <w:tcPr>
            <w:tcW w:w="74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Settlements made</w:t>
            </w:r>
          </w:p>
        </w:tc>
        <w:tc>
          <w:tcPr>
            <w:tcW w:w="2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(5,182)</w:t>
            </w:r>
          </w:p>
        </w:tc>
      </w:tr>
      <w:tr>
        <w:trPr>
          <w:trHeight w:val="220"/>
        </w:trPr>
        <w:tc>
          <w:tcPr>
            <w:tcW w:w="74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Warranty provision as of June 30, 2025</w:t>
            </w:r>
          </w:p>
        </w:tc>
        <w:tc>
          <w:tcPr>
            <w:tcW w:w="340" w:type="dxa"/>
            <w:vAlign w:val="bottom"/>
            <w:gridSpan w:val="2"/>
            <w:shd w:val="clear" w:color="auto" w:fill="E6E6E6"/>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11,611</w:t>
            </w: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Warranty claims provided for/assumed in acquisition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5,981</w:t>
            </w:r>
          </w:p>
        </w:tc>
      </w:tr>
      <w:tr>
        <w:trPr>
          <w:trHeight w:val="229"/>
        </w:trPr>
        <w:tc>
          <w:tcPr>
            <w:tcW w:w="74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Settlements made</w:t>
            </w:r>
          </w:p>
        </w:tc>
        <w:tc>
          <w:tcPr>
            <w:tcW w:w="20" w:type="dxa"/>
            <w:vAlign w:val="bottom"/>
            <w:shd w:val="clear" w:color="auto" w:fill="E6E6E6"/>
          </w:tcPr>
          <w:p>
            <w:pPr>
              <w:spacing w:after="0"/>
              <w:rPr>
                <w:sz w:val="19"/>
                <w:szCs w:val="19"/>
                <w:color w:val="auto"/>
              </w:rPr>
            </w:pPr>
          </w:p>
        </w:tc>
        <w:tc>
          <w:tcPr>
            <w:tcW w:w="32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(6,078)</w:t>
            </w:r>
          </w:p>
        </w:tc>
      </w:tr>
      <w:tr>
        <w:trPr>
          <w:trHeight w:val="230"/>
        </w:trPr>
        <w:tc>
          <w:tcPr>
            <w:tcW w:w="74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Warranty provision as of June 30, 2026</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11,514</w:t>
            </w:r>
          </w:p>
        </w:tc>
      </w:tr>
    </w:tbl>
    <w:p>
      <w:pPr>
        <w:spacing w:after="0" w:line="211" w:lineRule="exact"/>
        <w:rPr>
          <w:sz w:val="20"/>
          <w:szCs w:val="20"/>
          <w:color w:val="auto"/>
        </w:rPr>
      </w:pPr>
    </w:p>
    <w:p>
      <w:pPr>
        <w:jc w:val="both"/>
        <w:ind w:firstLine="721"/>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—Right-of-use (“ROU”) assets represent our right to use an underlying asset during the reasonably certain lease terms,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lease liabilities represent our obligation to make lease payments arising from the leases. We recognize ROU lease assets and lease liabilities at lease commencement on our consolidated balance sheet based on the present value of lease payments over the lease term using a discount rate determined based on our incremental borrowing rate since the rate implicit in each lease is not readily determinable. We elected the package of practical expedients, which permits us to not reassess (1) whether any expired or existing contracts are or contain leases, (2) the lease classification of any expired or existing leases, and (3) any initial direct costs for any existing leases as of the effective date. We elected the practical expedient to account for each separate lease component of a contract and its associated non-lease components as a single lease component. We also elected the hindsight practical expedient, which allows us to use hindsight in determining the lease term. We do not record a ROU asset and corresponding lease liability for leases with an initial term of one year or less (“short-term leases”). The terms in our leases may include options to extend or terminate the lease. We recognize ROU assets and liabilities when it is reasonably certain that we will exercise those options. Judgment is required in our assessment as to whether renewal or termination options are reasonably certain to be exercised and factors such as contractual terms compared to current market rates and the importance of the facility and location to our operations, among others, are considered. Lease payments are made in accordance with the lease terms, and lease expense, including short-term lease expense, is recognized on a straight-line basis over the lease term.</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800"/>
          </w:cols>
          <w:pgMar w:left="540" w:top="846" w:right="540" w:bottom="7" w:gutter="0" w:footer="0" w:header="0"/>
          <w:type w:val="continuous"/>
        </w:sectPr>
      </w:pPr>
    </w:p>
    <w:bookmarkStart w:id="82" w:name="page83"/>
    <w:bookmarkEnd w:id="82"/>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lease facilities and certain equipment under various operating lease agreements. The majority of our lease arrangements are comprised of fixed payments while certain of our other leases provide for periodic rent increases. Our leases may contain escalation clauses and renewal options. Most of the leases require us to pay for certain other costs such as common area maintenance and property taxes. Rent expense for leases with periodic rent increases or escalation clauses is recognized on a straight-line basis over the minimum lease term. The lease agreements do not contain any material residual value guarantees or material restrictive covenants. We also have finance leases for fleet vehicles that are not material to the consolidated financial statements.</w:t>
      </w:r>
    </w:p>
    <w:p>
      <w:pPr>
        <w:spacing w:after="0" w:line="19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Subsequent Event</w:t>
      </w:r>
      <w:r>
        <w:rPr>
          <w:rFonts w:ascii="Times New Roman" w:cs="Times New Roman" w:eastAsia="Times New Roman" w:hAnsi="Times New Roman"/>
          <w:sz w:val="20"/>
          <w:szCs w:val="20"/>
          <w:color w:val="auto"/>
        </w:rPr>
        <w:t>—In accordance with ASC 855, our management evaluated material events after the balance sheet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the date of the filing of this report with the SEC. Other than the increase in the stock repurchase authorization described in Note 9, no subsequent events occurred that required adjustment to, or disclosure in,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Guidance</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and other regulatory bodies that are adopted as of the specified effective dates. Unless otherwise discussed below, management believes that the impact of recently issued standards, which are not yet effective for the Company, will not have a material impact on our Consolidated Financial Statements upon adoption.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Guidance Adopted</w:t>
      </w:r>
    </w:p>
    <w:p>
      <w:pPr>
        <w:spacing w:after="0" w:line="19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2023-09, “Improvements to Income Tax Disclosures” (“ASU 2023-09”), which provides for additional disclosures primarily related to income tax rate reconciliations and income taxes paid. ASU 2023-09 requires entities to annually disclose income tax rate reconciliation using both amounts and percentages, considering several categories of reconciling items, including state and local income taxes, foreign tax effects, tax credits and nontaxable or nondeductible items, among others. Disclosure of reconciling items is subject to a quantitative threshold and disaggregation by nature and jurisdiction. ASU 2023-09 also requires entities to disclose net income taxes paid to or received from federal, state and foreign jurisdictions, as well as by individual jurisdiction, subject to a five percent quantitative threshold. We adopted ASU 2023-09 in fiscal year 2026 on a prospective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Guidance Not Yet Adopted</w:t>
      </w:r>
    </w:p>
    <w:p>
      <w:pPr>
        <w:spacing w:after="0" w:line="19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November 2024, the FASB issued Accounting Standards Update 2024-03, “Income Statement- Reporting Comprehensive Income (Topic 220): Expense Disaggregation Disclosures”, (“ASU 2024-03”) which requires additional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ASU 2024-03 is effective for annual periods beginning after December 15, 2026, and interim periods within annual reporting periods beginning after December 15, 2027. Early adoption is permitted and may be applied either on a prospective or retrospective basis. We are evaluating the potential impact of ASU 2024-03 on disclosures in our Consolidated Financial Statements which will be effective beginning with our Form 10-K for fiscal year 2028.</w:t>
      </w:r>
    </w:p>
    <w:p>
      <w:pPr>
        <w:spacing w:after="0" w:line="165"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In September 2025, the FASB issued Accounting Standards Update 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We are evaluating the potential impact of ASU 2025-06 on disclosures in our Consolidated Financial Statements which will be effective beginning with our Form 10-K for fiscal year 2029.</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800"/>
          </w:cols>
          <w:pgMar w:left="540" w:top="846" w:right="540" w:bottom="7" w:gutter="0" w:footer="0" w:header="0"/>
          <w:type w:val="continuous"/>
        </w:sectPr>
      </w:pPr>
    </w:p>
    <w:bookmarkStart w:id="83" w:name="page84"/>
    <w:bookmarkEnd w:id="83"/>
    <w:p>
      <w:pPr>
        <w:jc w:val="center"/>
        <w:ind w:left="540" w:right="2140"/>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left="1" w:firstLine="721"/>
        <w:spacing w:after="0" w:line="245" w:lineRule="auto"/>
        <w:rPr>
          <w:sz w:val="20"/>
          <w:szCs w:val="20"/>
          <w:color w:val="auto"/>
        </w:rPr>
      </w:pPr>
      <w:r>
        <w:rPr>
          <w:rFonts w:ascii="Times New Roman" w:cs="Times New Roman" w:eastAsia="Times New Roman" w:hAnsi="Times New Roman"/>
          <w:sz w:val="20"/>
          <w:szCs w:val="20"/>
          <w:color w:val="auto"/>
        </w:rPr>
        <w:t>In December 2025, the FASB issued Accounting Standards Update 2025-11, “Interim Reporting (Topic 270): Narrow-Scope Improvements” (ASU 2025-11”), which clarifies the application, form and content, and required disclosures for interim financial statements prepared in accordance with GAAP. The ASU improves the organization and clarity of ASU 2025 -11 by specifying interim reporting requirements, consolidating required interim disclosures and introducing a disclosure principle for events and changes occurring after the end of the most recent annual reporting period that have a material impact on the entity. ASU 2025-11 is effective for interim periods within annual reporting periods beginning after December 15, 2027, with early adoption permitted. We are evaluating the potential impact of ASU 2025-11 on disclosures in our Consolidated Financial Statements which will be effective for interim periods beginning fiscal year 2029.</w:t>
      </w:r>
    </w:p>
    <w:p>
      <w:pPr>
        <w:spacing w:after="0" w:line="161" w:lineRule="exact"/>
        <w:rPr>
          <w:sz w:val="20"/>
          <w:szCs w:val="20"/>
          <w:color w:val="auto"/>
        </w:rPr>
      </w:pPr>
    </w:p>
    <w:p>
      <w:pPr>
        <w:jc w:val="both"/>
        <w:ind w:left="1" w:firstLine="721"/>
        <w:spacing w:after="0" w:line="247" w:lineRule="auto"/>
        <w:rPr>
          <w:sz w:val="20"/>
          <w:szCs w:val="20"/>
          <w:color w:val="auto"/>
        </w:rPr>
      </w:pPr>
      <w:r>
        <w:rPr>
          <w:rFonts w:ascii="Times New Roman" w:cs="Times New Roman" w:eastAsia="Times New Roman" w:hAnsi="Times New Roman"/>
          <w:sz w:val="20"/>
          <w:szCs w:val="20"/>
          <w:color w:val="auto"/>
        </w:rPr>
        <w:t>In December 2025, the FASB issued Accounting Standards Update 2025-12, “Codification Improvements”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We are evaluating the potential impact of ASU 2025-12 on disclosures in our Consolidated Financial Statements which will be effective beginning with our Form 10-K for fiscal year 2028.</w:t>
      </w:r>
    </w:p>
    <w:p>
      <w:pPr>
        <w:spacing w:after="0" w:line="187" w:lineRule="exact"/>
        <w:rPr>
          <w:sz w:val="20"/>
          <w:szCs w:val="20"/>
          <w:color w:val="auto"/>
        </w:rPr>
      </w:pPr>
    </w:p>
    <w:p>
      <w:pPr>
        <w:ind w:left="721" w:hanging="721"/>
        <w:spacing w:after="0"/>
        <w:tabs>
          <w:tab w:leader="none" w:pos="721"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204"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19"/>
          <w:szCs w:val="19"/>
          <w:color w:val="auto"/>
        </w:rPr>
        <w:t>Under Accounting Standards Codification Topic 805, Business Combinations (“ASC 805”), the acquisition method of accounting requires us to record assets acquired less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on assumptions which are believed to be reasonable, but which are inherently uncertain and unpredictable and, as a result, actual results may differ from estimates. During the measurement period for fair value, which is up to one year from the acquisition date, as additional information that existed at the acquisition date becomes available, we may record adjustments to the preliminary assets acquired and liabilities assumed. Upon the conclusion of the measurement period, any subsequent adjustments are included in earnings.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i w:val="1"/>
          <w:iCs w:val="1"/>
          <w:color w:val="auto"/>
        </w:rPr>
        <w:t>Fiscal Year 2026 Business Acquisition</w:t>
      </w:r>
    </w:p>
    <w:p>
      <w:pPr>
        <w:spacing w:after="0" w:line="198" w:lineRule="exact"/>
        <w:rPr>
          <w:sz w:val="20"/>
          <w:szCs w:val="20"/>
          <w:color w:val="auto"/>
        </w:rPr>
      </w:pPr>
    </w:p>
    <w:p>
      <w:pPr>
        <w:jc w:val="both"/>
        <w:ind w:left="1" w:firstLine="721"/>
        <w:spacing w:after="0" w:line="246" w:lineRule="auto"/>
        <w:rPr>
          <w:sz w:val="20"/>
          <w:szCs w:val="20"/>
          <w:color w:val="auto"/>
        </w:rPr>
      </w:pPr>
      <w:r>
        <w:rPr>
          <w:rFonts w:ascii="Times New Roman" w:cs="Times New Roman" w:eastAsia="Times New Roman" w:hAnsi="Times New Roman"/>
          <w:sz w:val="20"/>
          <w:szCs w:val="20"/>
          <w:color w:val="auto"/>
        </w:rPr>
        <w:t>In June 2026, we (through our Security division) acquired a privately held provider of airport screening services for approximately $27.0 million, plus up to $14.0 million in potential contingent consideration. We paid $26.2 million in cash at the closing of the transaction, with a holdback of $0.8 million expected to be paid in July 2028. The acquisition date fair value of the contingent consideration was $9.7 million. The purchase price of $36.7 million was allocated to net working capital of $2.3 million, intangible assets of $12.5 million and goodwill of $21.9 million. Amortizable intangible assets of $10.2 million have estimated lives ranging from 2 years to 10 years. The acquisition was financed with cash on hand. The goodwill recognized for this business acquisition is deductible for income tax purposes. Revenue and earnings from this acquisition in fiscal year 2026 were not significant.</w:t>
      </w:r>
    </w:p>
    <w:p>
      <w:pPr>
        <w:spacing w:after="0" w:line="20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i w:val="1"/>
          <w:iCs w:val="1"/>
          <w:color w:val="auto"/>
        </w:rPr>
        <w:t>Fiscal Year 2025 Business Acquisitions</w:t>
      </w:r>
    </w:p>
    <w:p>
      <w:pPr>
        <w:spacing w:after="0" w:line="198" w:lineRule="exact"/>
        <w:rPr>
          <w:sz w:val="20"/>
          <w:szCs w:val="20"/>
          <w:color w:val="auto"/>
        </w:rPr>
      </w:pPr>
    </w:p>
    <w:p>
      <w:pPr>
        <w:jc w:val="both"/>
        <w:ind w:left="1" w:firstLine="721"/>
        <w:spacing w:after="0" w:line="258" w:lineRule="auto"/>
        <w:rPr>
          <w:sz w:val="20"/>
          <w:szCs w:val="20"/>
          <w:color w:val="auto"/>
        </w:rPr>
      </w:pPr>
      <w:r>
        <w:rPr>
          <w:rFonts w:ascii="Times New Roman" w:cs="Times New Roman" w:eastAsia="Times New Roman" w:hAnsi="Times New Roman"/>
          <w:sz w:val="19"/>
          <w:szCs w:val="19"/>
          <w:color w:val="auto"/>
        </w:rPr>
        <w:t>In September 2024, we (through our Security division) acquired 100% of the shares of common stock of a privately held provider of critical military, space and surveillance solutions to expand our customer base and offer additional products and services for existing customers, for approximately $76.0 million, plus up to $24.0 million in potential contingent consideration. We paid $75.5 million in cash at the closing of the transaction. The cash paid for this acquisition was financed with borrowings from our credit facility. The acquisition date fair value of the contingent consideration was $9.7 million, which, when combined with the amount of cash paid at close and the holdback amount, resulted in total purchase consideration of $85.7 million being allocated to the preliminary fair value of assets acquired and liabilities assumed. The acquisition date fair value of total assets acquired, including measurement period adjustments, was $113.9 million which comprised accounts receivable of $26.1 million, inventory and other current assets of $2.7 million, property and equipment of $7.0 million, goodwill of $30.7 million, other intangible assets of $47.3 million and other noncurrent assets of $0.1 million. Goodwill includes the value of the assembled workforce, new customers and other future economic benefits which do not qualify for separate recognition. The goodwill recognized for this business acquisition is not deductible for income tax</w:t>
      </w:r>
    </w:p>
    <w:p>
      <w:pPr>
        <w:sectPr>
          <w:pgSz w:w="11880" w:h="15480" w:orient="portrait"/>
          <w:cols w:equalWidth="0" w:num="1">
            <w:col w:w="10801"/>
          </w:cols>
          <w:pgMar w:left="539"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801"/>
          </w:cols>
          <w:pgMar w:left="539" w:top="846" w:right="540" w:bottom="7" w:gutter="0" w:footer="0" w:header="0"/>
          <w:type w:val="continuous"/>
        </w:sectPr>
      </w:pPr>
    </w:p>
    <w:bookmarkStart w:id="84" w:name="page85"/>
    <w:bookmarkEnd w:id="84"/>
    <w:p>
      <w:pPr>
        <w:jc w:val="center"/>
        <w:ind w:left="540" w:right="2140"/>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left="1" w:firstLine="1"/>
        <w:spacing w:after="0" w:line="245" w:lineRule="auto"/>
        <w:rPr>
          <w:sz w:val="20"/>
          <w:szCs w:val="20"/>
          <w:color w:val="auto"/>
        </w:rPr>
      </w:pPr>
      <w:r>
        <w:rPr>
          <w:rFonts w:ascii="Times New Roman" w:cs="Times New Roman" w:eastAsia="Times New Roman" w:hAnsi="Times New Roman"/>
          <w:sz w:val="20"/>
          <w:szCs w:val="20"/>
          <w:color w:val="auto"/>
        </w:rPr>
        <w:t>purposes. Other intangible assets include amortizable intangible assets of $39.2 million with amortization periods of 7 to 10 years and an indefinite-lived intangible asset of $8.1 million. The acquisition date fair value of total liabilities assumed, including measurement period adjustments, was $28.2 million, which includes a deferred tax liability of $7.3 million that was recognized primarily due to the acquisition of other intangible assets. During the three months ended September 30, 2025, we recorded measurement period adjustments which decreased goodwill by $1.4 million due to a decrease in deferred income taxes of $1.8 million and an increase in intangible assets of $0.1 million, which were partially offset by a decrease in accounts receivable of $0.5 million. The measurement period adjustments did not have a significant impact on the consolidated statement of operations. The measurement period ended in September 2025, and no further purchase price adjustments have been recorded since.</w:t>
      </w:r>
    </w:p>
    <w:p>
      <w:pPr>
        <w:spacing w:after="0" w:line="202"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In April 2025, we (through our Security Division) acquired a privately held provider of engineering and structural component services for approximately $1.3 million, plus up to $0.9 million in potential contingent consideration. The acquisition was financed with cash on hand. The goodwill recognized for this business acquisition is not deductible for income tax purposes.</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i w:val="1"/>
          <w:iCs w:val="1"/>
          <w:color w:val="auto"/>
        </w:rPr>
        <w:t>Fiscal Year 2024 Business Acquisitions</w:t>
      </w:r>
    </w:p>
    <w:p>
      <w:pPr>
        <w:spacing w:after="0" w:line="237" w:lineRule="exact"/>
        <w:rPr>
          <w:sz w:val="20"/>
          <w:szCs w:val="20"/>
          <w:color w:val="auto"/>
        </w:rPr>
      </w:pPr>
    </w:p>
    <w:p>
      <w:pPr>
        <w:jc w:val="both"/>
        <w:ind w:left="1" w:firstLine="720"/>
        <w:spacing w:after="0" w:line="259" w:lineRule="auto"/>
        <w:rPr>
          <w:sz w:val="20"/>
          <w:szCs w:val="20"/>
          <w:color w:val="auto"/>
        </w:rPr>
      </w:pPr>
      <w:r>
        <w:rPr>
          <w:rFonts w:ascii="Times New Roman" w:cs="Times New Roman" w:eastAsia="Times New Roman" w:hAnsi="Times New Roman"/>
          <w:sz w:val="20"/>
          <w:szCs w:val="20"/>
          <w:color w:val="auto"/>
        </w:rPr>
        <w:t>In December 2023, we (through our Optoelectronics and Manufacturing division) acquired a privately held contract manufacturer for approximately $6.3 million. The acquisition was financed with cash on hand. The goodwill recognized for this business acquisition is deductible for income tax purposes.</w:t>
      </w:r>
    </w:p>
    <w:p>
      <w:pPr>
        <w:spacing w:after="0" w:line="186" w:lineRule="exact"/>
        <w:rPr>
          <w:sz w:val="20"/>
          <w:szCs w:val="20"/>
          <w:color w:val="auto"/>
        </w:rPr>
      </w:pPr>
    </w:p>
    <w:p>
      <w:pPr>
        <w:jc w:val="both"/>
        <w:ind w:left="1" w:firstLine="720"/>
        <w:spacing w:after="0" w:line="259" w:lineRule="auto"/>
        <w:rPr>
          <w:sz w:val="20"/>
          <w:szCs w:val="20"/>
          <w:color w:val="auto"/>
        </w:rPr>
      </w:pPr>
      <w:r>
        <w:rPr>
          <w:rFonts w:ascii="Times New Roman" w:cs="Times New Roman" w:eastAsia="Times New Roman" w:hAnsi="Times New Roman"/>
          <w:sz w:val="20"/>
          <w:szCs w:val="20"/>
          <w:color w:val="auto"/>
        </w:rPr>
        <w:t>In October 2023, we (through our Security division) acquired a privately held provider of radiation detection technology for approximately $2.8 million, plus up to $3.6 million in potential contingent consideration. The acquisition was financed with cash on hand. The goodwill recognized for this business acquisition is not deductible for income tax purposes.</w:t>
      </w:r>
    </w:p>
    <w:p>
      <w:pPr>
        <w:spacing w:after="0" w:line="182" w:lineRule="exact"/>
        <w:rPr>
          <w:sz w:val="20"/>
          <w:szCs w:val="20"/>
          <w:color w:val="auto"/>
        </w:rPr>
      </w:pPr>
    </w:p>
    <w:p>
      <w:pPr>
        <w:ind w:left="721" w:hanging="721"/>
        <w:spacing w:after="0"/>
        <w:tabs>
          <w:tab w:leader="none" w:pos="721"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BALANCE SHEET DETAILS</w:t>
      </w:r>
    </w:p>
    <w:p>
      <w:pPr>
        <w:spacing w:after="0" w:line="234" w:lineRule="exact"/>
        <w:rPr>
          <w:rFonts w:ascii="Times New Roman" w:cs="Times New Roman" w:eastAsia="Times New Roman" w:hAnsi="Times New Roman"/>
          <w:sz w:val="20"/>
          <w:szCs w:val="20"/>
          <w:b w:val="1"/>
          <w:bCs w:val="1"/>
          <w:color w:val="auto"/>
        </w:rPr>
      </w:pPr>
    </w:p>
    <w:p>
      <w:pPr>
        <w:ind w:left="721"/>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tables provide details of selected balance sheet accounts (in thousands):</w:t>
      </w:r>
    </w:p>
    <w:p>
      <w:pPr>
        <w:spacing w:after="0" w:line="250" w:lineRule="exact"/>
        <w:rPr>
          <w:sz w:val="20"/>
          <w:szCs w:val="20"/>
          <w:color w:val="auto"/>
        </w:rPr>
      </w:pPr>
    </w:p>
    <w:tbl>
      <w:tblPr>
        <w:tblLayout w:type="fixed"/>
        <w:tblInd w:w="1081" w:type="dxa"/>
        <w:tblCellMar>
          <w:top w:w="0" w:type="dxa"/>
          <w:left w:w="0" w:type="dxa"/>
          <w:bottom w:w="0" w:type="dxa"/>
          <w:right w:w="0" w:type="dxa"/>
        </w:tblCellMar>
      </w:tblPr>
      <w:tr>
        <w:trPr>
          <w:trHeight w:val="203"/>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74"/>
        </w:trPr>
        <w:tc>
          <w:tcPr>
            <w:tcW w:w="6580" w:type="dxa"/>
            <w:vAlign w:val="bottom"/>
            <w:vMerge w:val="continue"/>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081" w:type="dxa"/>
        <w:tblCellMar>
          <w:top w:w="0" w:type="dxa"/>
          <w:left w:w="0" w:type="dxa"/>
          <w:bottom w:w="0" w:type="dxa"/>
          <w:right w:w="0" w:type="dxa"/>
        </w:tblCellMar>
      </w:tblPr>
      <w:tr>
        <w:trPr>
          <w:trHeight w:val="20"/>
        </w:trPr>
        <w:tc>
          <w:tcPr>
            <w:tcW w:w="6380" w:type="dxa"/>
            <w:vAlign w:val="bottom"/>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shd w:val="clear" w:color="auto" w:fill="E6E6E6"/>
          </w:tcPr>
          <w:p>
            <w:pPr>
              <w:spacing w:after="0" w:line="200" w:lineRule="exact"/>
              <w:rPr>
                <w:sz w:val="20"/>
                <w:szCs w:val="20"/>
                <w:color w:val="auto"/>
              </w:rPr>
            </w:pPr>
            <w:r>
              <w:rPr>
                <w:rFonts w:ascii="Times New Roman" w:cs="Times New Roman" w:eastAsia="Times New Roman" w:hAnsi="Times New Roman"/>
                <w:sz w:val="20"/>
                <w:szCs w:val="20"/>
                <w:color w:val="auto"/>
              </w:rPr>
              <w:t>Accounts receivable</w:t>
            </w:r>
          </w:p>
        </w:tc>
        <w:tc>
          <w:tcPr>
            <w:tcW w:w="360" w:type="dxa"/>
            <w:vAlign w:val="bottom"/>
            <w:gridSpan w:val="2"/>
            <w:shd w:val="clear" w:color="auto" w:fill="E6E6E6"/>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00" w:lineRule="exact"/>
              <w:rPr>
                <w:sz w:val="20"/>
                <w:szCs w:val="20"/>
                <w:color w:val="auto"/>
              </w:rPr>
            </w:pPr>
            <w:r>
              <w:rPr>
                <w:rFonts w:ascii="Times New Roman" w:cs="Times New Roman" w:eastAsia="Times New Roman" w:hAnsi="Times New Roman"/>
                <w:sz w:val="20"/>
                <w:szCs w:val="20"/>
                <w:color w:val="auto"/>
              </w:rPr>
              <w:t>855,494</w:t>
            </w:r>
          </w:p>
        </w:tc>
        <w:tc>
          <w:tcPr>
            <w:tcW w:w="200" w:type="dxa"/>
            <w:vAlign w:val="bottom"/>
            <w:tcBorders>
              <w:right w:val="single" w:sz="8" w:color="E6E6E6"/>
            </w:tcBorders>
            <w:shd w:val="clear" w:color="auto" w:fill="E6E6E6"/>
          </w:tcPr>
          <w:p>
            <w:pPr>
              <w:spacing w:after="0"/>
              <w:rPr>
                <w:sz w:val="17"/>
                <w:szCs w:val="17"/>
                <w:color w:val="auto"/>
              </w:rPr>
            </w:pPr>
          </w:p>
        </w:tc>
        <w:tc>
          <w:tcPr>
            <w:tcW w:w="180" w:type="dxa"/>
            <w:vAlign w:val="bottom"/>
            <w:shd w:val="clear" w:color="auto" w:fill="E6E6E6"/>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6E6E6"/>
          </w:tcPr>
          <w:p>
            <w:pPr>
              <w:jc w:val="right"/>
              <w:spacing w:after="0" w:line="200" w:lineRule="exact"/>
              <w:rPr>
                <w:sz w:val="20"/>
                <w:szCs w:val="20"/>
                <w:color w:val="auto"/>
              </w:rPr>
            </w:pPr>
            <w:r>
              <w:rPr>
                <w:rFonts w:ascii="Times New Roman" w:cs="Times New Roman" w:eastAsia="Times New Roman" w:hAnsi="Times New Roman"/>
                <w:sz w:val="20"/>
                <w:szCs w:val="20"/>
                <w:color w:val="auto"/>
              </w:rPr>
              <w:t>785,505</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Less allowance for doubtful accounts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(17,751)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(20,879)</w:t>
            </w:r>
          </w:p>
        </w:tc>
        <w:tc>
          <w:tcPr>
            <w:tcW w:w="0" w:type="dxa"/>
            <w:vAlign w:val="bottom"/>
          </w:tcPr>
          <w:p>
            <w:pPr>
              <w:spacing w:after="0"/>
              <w:rPr>
                <w:sz w:val="1"/>
                <w:szCs w:val="1"/>
                <w:color w:val="auto"/>
              </w:rPr>
            </w:pPr>
          </w:p>
        </w:tc>
      </w:tr>
      <w:tr>
        <w:trPr>
          <w:trHeight w:val="230"/>
        </w:trPr>
        <w:tc>
          <w:tcPr>
            <w:tcW w:w="6380" w:type="dxa"/>
            <w:vAlign w:val="bottom"/>
            <w:tcBorders>
              <w:top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top w:val="single" w:sz="8" w:color="E6E6E6"/>
              <w:right w:val="single" w:sz="8" w:color="E6E6E6"/>
            </w:tcBorders>
            <w:shd w:val="clear" w:color="auto" w:fill="E6E6E6"/>
          </w:tcPr>
          <w:p>
            <w:pPr>
              <w:spacing w:after="0"/>
              <w:rPr>
                <w:sz w:val="20"/>
                <w:szCs w:val="20"/>
                <w:color w:val="auto"/>
              </w:rPr>
            </w:pPr>
          </w:p>
        </w:tc>
        <w:tc>
          <w:tcPr>
            <w:tcW w:w="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837,743</w:t>
            </w:r>
          </w:p>
        </w:tc>
        <w:tc>
          <w:tcPr>
            <w:tcW w:w="200" w:type="dxa"/>
            <w:vAlign w:val="bottom"/>
            <w:tcBorders>
              <w:top w:val="single" w:sz="8" w:color="E6E6E6"/>
              <w:right w:val="single" w:sz="8" w:color="E6E6E6"/>
            </w:tcBorders>
            <w:shd w:val="clear" w:color="auto" w:fill="E6E6E6"/>
          </w:tcPr>
          <w:p>
            <w:pPr>
              <w:spacing w:after="0"/>
              <w:rPr>
                <w:sz w:val="20"/>
                <w:szCs w:val="20"/>
                <w:color w:val="auto"/>
              </w:rPr>
            </w:pPr>
          </w:p>
        </w:tc>
        <w:tc>
          <w:tcPr>
            <w:tcW w:w="1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764,626</w:t>
            </w:r>
          </w:p>
        </w:tc>
        <w:tc>
          <w:tcPr>
            <w:tcW w:w="0" w:type="dxa"/>
            <w:vAlign w:val="bottom"/>
          </w:tcPr>
          <w:p>
            <w:pPr>
              <w:spacing w:after="0"/>
              <w:rPr>
                <w:sz w:val="1"/>
                <w:szCs w:val="1"/>
                <w:color w:val="auto"/>
              </w:rPr>
            </w:pPr>
          </w:p>
        </w:tc>
      </w:tr>
      <w:tr>
        <w:trPr>
          <w:trHeight w:val="433"/>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3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E6E6E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2"/>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20"/>
        </w:trPr>
        <w:tc>
          <w:tcPr>
            <w:tcW w:w="63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Raw materials</w:t>
            </w:r>
          </w:p>
        </w:tc>
        <w:tc>
          <w:tcPr>
            <w:tcW w:w="36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245,993</w:t>
            </w:r>
          </w:p>
        </w:tc>
        <w:tc>
          <w:tcPr>
            <w:tcW w:w="200" w:type="dxa"/>
            <w:vAlign w:val="bottom"/>
            <w:tcBorders>
              <w:right w:val="single" w:sz="8" w:color="E6E6E6"/>
            </w:tcBorders>
            <w:shd w:val="clear" w:color="auto" w:fill="E6E6E6"/>
          </w:tcPr>
          <w:p>
            <w:pPr>
              <w:spacing w:after="0"/>
              <w:rPr>
                <w:sz w:val="19"/>
                <w:szCs w:val="19"/>
                <w:color w:val="auto"/>
              </w:rPr>
            </w:pPr>
          </w:p>
        </w:tc>
        <w:tc>
          <w:tcPr>
            <w:tcW w:w="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261,624</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77,309</w:t>
            </w:r>
          </w:p>
        </w:tc>
        <w:tc>
          <w:tcPr>
            <w:tcW w:w="0" w:type="dxa"/>
            <w:vAlign w:val="bottom"/>
          </w:tcPr>
          <w:p>
            <w:pPr>
              <w:spacing w:after="0"/>
              <w:rPr>
                <w:sz w:val="1"/>
                <w:szCs w:val="1"/>
                <w:color w:val="auto"/>
              </w:rPr>
            </w:pPr>
          </w:p>
        </w:tc>
      </w:tr>
      <w:tr>
        <w:trPr>
          <w:trHeight w:val="230"/>
        </w:trPr>
        <w:tc>
          <w:tcPr>
            <w:tcW w:w="63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22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89,057</w:t>
            </w:r>
          </w:p>
        </w:tc>
        <w:tc>
          <w:tcPr>
            <w:tcW w:w="200" w:type="dxa"/>
            <w:vAlign w:val="bottom"/>
            <w:tcBorders>
              <w:right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76,629</w:t>
            </w:r>
          </w:p>
        </w:tc>
        <w:tc>
          <w:tcPr>
            <w:tcW w:w="0" w:type="dxa"/>
            <w:vAlign w:val="bottom"/>
          </w:tcPr>
          <w:p>
            <w:pPr>
              <w:spacing w:after="0"/>
              <w:rPr>
                <w:sz w:val="1"/>
                <w:szCs w:val="1"/>
                <w:color w:val="auto"/>
              </w:rPr>
            </w:pPr>
          </w:p>
        </w:tc>
      </w:tr>
      <w:tr>
        <w:trPr>
          <w:trHeight w:val="230"/>
        </w:trPr>
        <w:tc>
          <w:tcPr>
            <w:tcW w:w="638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407,174</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415,562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1"/>
          </w:cols>
          <w:pgMar w:left="539"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801"/>
          </w:cols>
          <w:pgMar w:left="539" w:top="846" w:right="540" w:bottom="7" w:gutter="0" w:footer="0" w:header="0"/>
          <w:type w:val="continuous"/>
        </w:sectPr>
      </w:pPr>
    </w:p>
    <w:bookmarkStart w:id="85" w:name="page86"/>
    <w:bookmarkEnd w:id="85"/>
    <w:p>
      <w:pPr>
        <w:jc w:val="center"/>
        <w:spacing w:after="0" w:line="457"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tbl>
      <w:tblPr>
        <w:tblLayout w:type="fixed"/>
        <w:tblInd w:w="108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174"/>
        </w:trPr>
        <w:tc>
          <w:tcPr>
            <w:tcW w:w="54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60" w:type="dxa"/>
            <w:vAlign w:val="bottom"/>
          </w:tcPr>
          <w:p>
            <w:pPr>
              <w:spacing w:after="0"/>
              <w:rPr>
                <w:sz w:val="15"/>
                <w:szCs w:val="15"/>
                <w:color w:val="auto"/>
              </w:rPr>
            </w:pPr>
          </w:p>
        </w:tc>
        <w:tc>
          <w:tcPr>
            <w:tcW w:w="106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20" w:type="dxa"/>
            <w:vAlign w:val="bottom"/>
          </w:tcPr>
          <w:p>
            <w:pPr>
              <w:spacing w:after="0"/>
              <w:rPr>
                <w:sz w:val="15"/>
                <w:szCs w:val="15"/>
                <w:color w:val="auto"/>
              </w:rPr>
            </w:pPr>
          </w:p>
        </w:tc>
        <w:tc>
          <w:tcPr>
            <w:tcW w:w="800" w:type="dxa"/>
            <w:vAlign w:val="bottom"/>
          </w:tcPr>
          <w:p>
            <w:pPr>
              <w:jc w:val="right"/>
              <w:ind w:right="20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0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5400" w:type="dxa"/>
            <w:vAlign w:val="bottom"/>
            <w:tcBorders>
              <w:top w:val="single" w:sz="8" w:color="auto"/>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Land</w:t>
            </w:r>
          </w:p>
        </w:tc>
        <w:tc>
          <w:tcPr>
            <w:tcW w:w="160" w:type="dxa"/>
            <w:vAlign w:val="bottom"/>
            <w:tcBorders>
              <w:top w:val="single" w:sz="8" w:color="E6E6E6"/>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1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16,087</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15,452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Buildings, civil works and improvements</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4-40 years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51,148</w:t>
            </w:r>
          </w:p>
        </w:tc>
      </w:tr>
      <w:tr>
        <w:trPr>
          <w:trHeight w:val="229"/>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220" w:type="dxa"/>
            <w:vAlign w:val="bottom"/>
            <w:gridSpan w:val="4"/>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3-20 years</w:t>
            </w:r>
          </w:p>
        </w:tc>
        <w:tc>
          <w:tcPr>
            <w:tcW w:w="12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14,636</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15,389</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Equipment, tooling, furniture and fixtures</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3-13 years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159,948</w:t>
            </w:r>
          </w:p>
        </w:tc>
      </w:tr>
      <w:tr>
        <w:trPr>
          <w:trHeight w:val="229"/>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60" w:type="dxa"/>
            <w:vAlign w:val="bottom"/>
            <w:shd w:val="clear" w:color="auto" w:fill="E6E6E6"/>
          </w:tcPr>
          <w:p>
            <w:pPr>
              <w:spacing w:after="0"/>
              <w:rPr>
                <w:sz w:val="19"/>
                <w:szCs w:val="19"/>
                <w:color w:val="auto"/>
              </w:rPr>
            </w:pPr>
          </w:p>
        </w:tc>
        <w:tc>
          <w:tcPr>
            <w:tcW w:w="1060" w:type="dxa"/>
            <w:vAlign w:val="bottom"/>
            <w:gridSpan w:val="3"/>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3-5 years</w:t>
            </w:r>
          </w:p>
        </w:tc>
        <w:tc>
          <w:tcPr>
            <w:tcW w:w="12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24,092</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28,068</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3-10 years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32,498</w:t>
            </w:r>
          </w:p>
        </w:tc>
      </w:tr>
      <w:tr>
        <w:trPr>
          <w:trHeight w:val="230"/>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Computer software implementation in process</w:t>
            </w:r>
          </w:p>
        </w:tc>
        <w:tc>
          <w:tcPr>
            <w:tcW w:w="160" w:type="dxa"/>
            <w:vAlign w:val="bottom"/>
            <w:shd w:val="clear" w:color="auto" w:fill="E6E6E6"/>
          </w:tcPr>
          <w:p>
            <w:pPr>
              <w:spacing w:after="0"/>
              <w:rPr>
                <w:sz w:val="20"/>
                <w:szCs w:val="20"/>
                <w:color w:val="auto"/>
              </w:rPr>
            </w:pPr>
          </w:p>
        </w:tc>
        <w:tc>
          <w:tcPr>
            <w:tcW w:w="1060" w:type="dxa"/>
            <w:vAlign w:val="bottom"/>
            <w:gridSpan w:val="3"/>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N/A</w:t>
            </w:r>
          </w:p>
        </w:tc>
        <w:tc>
          <w:tcPr>
            <w:tcW w:w="12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4,472</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4,560</w:t>
            </w:r>
          </w:p>
        </w:tc>
      </w:tr>
      <w:tr>
        <w:trPr>
          <w:trHeight w:val="229"/>
        </w:trPr>
        <w:tc>
          <w:tcPr>
            <w:tcW w:w="54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Construction in process</w:t>
            </w:r>
          </w:p>
        </w:tc>
        <w:tc>
          <w:tcPr>
            <w:tcW w:w="160" w:type="dxa"/>
            <w:vAlign w:val="bottom"/>
            <w:tcBorders>
              <w:bottom w:val="single" w:sz="8" w:color="E6E6E6"/>
            </w:tcBorders>
          </w:tcPr>
          <w:p>
            <w:pPr>
              <w:spacing w:after="0"/>
              <w:rPr>
                <w:sz w:val="19"/>
                <w:szCs w:val="19"/>
                <w:color w:val="auto"/>
              </w:rPr>
            </w:pPr>
          </w:p>
        </w:tc>
        <w:tc>
          <w:tcPr>
            <w:tcW w:w="1060" w:type="dxa"/>
            <w:vAlign w:val="bottom"/>
            <w:tcBorders>
              <w:bottom w:val="single" w:sz="8" w:color="E6E6E6"/>
            </w:tcBorders>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N/A</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7,370</w:t>
            </w:r>
          </w:p>
        </w:tc>
        <w:tc>
          <w:tcPr>
            <w:tcW w:w="16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14,497</w:t>
            </w:r>
          </w:p>
        </w:tc>
      </w:tr>
      <w:tr>
        <w:trPr>
          <w:trHeight w:val="220"/>
        </w:trPr>
        <w:tc>
          <w:tcPr>
            <w:tcW w:w="540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311,581</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321,560</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(184,834)</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(191,618)</w:t>
            </w:r>
          </w:p>
        </w:tc>
      </w:tr>
      <w:tr>
        <w:trPr>
          <w:trHeight w:val="230"/>
        </w:trPr>
        <w:tc>
          <w:tcPr>
            <w:tcW w:w="5400" w:type="dxa"/>
            <w:vAlign w:val="bottom"/>
            <w:tcBorders>
              <w:top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tcBorders>
              <w:top w:val="single" w:sz="8" w:color="E6E6E6"/>
            </w:tcBorders>
            <w:shd w:val="clear" w:color="auto" w:fill="E6E6E6"/>
          </w:tcPr>
          <w:p>
            <w:pPr>
              <w:spacing w:after="0"/>
              <w:rPr>
                <w:sz w:val="20"/>
                <w:szCs w:val="20"/>
                <w:color w:val="auto"/>
              </w:rPr>
            </w:pPr>
          </w:p>
        </w:tc>
        <w:tc>
          <w:tcPr>
            <w:tcW w:w="90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126,747</w:t>
            </w:r>
          </w:p>
        </w:tc>
        <w:tc>
          <w:tcPr>
            <w:tcW w:w="16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129,942</w:t>
            </w:r>
          </w:p>
        </w:tc>
      </w:tr>
    </w:tbl>
    <w:p>
      <w:pPr>
        <w:spacing w:after="0" w:line="21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During fiscal 2024, 2025 and 2026, depreciation expense was approximately $19.4 million, $22.0 million and $21.3 million, respectively.</w:t>
      </w:r>
    </w:p>
    <w:p>
      <w:pPr>
        <w:spacing w:after="0" w:line="12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Other accrued expenses and current liabilities included accrued project costs of approximately $21.6 million and $40.1 million as of June 30, 2025 and 2026, respectively. Accrued project costs primarily consist of subcontractor, engineering, materials, installation and other direct costs incurred in fulfilling customer contracts that had not yet been paid as of the end of the period.</w:t>
      </w:r>
    </w:p>
    <w:p>
      <w:pPr>
        <w:spacing w:after="0" w:line="164" w:lineRule="exact"/>
        <w:rPr>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03"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changes in the carrying amount of goodwill by segment for fiscal 2025 and 2026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Optoelectronics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8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340" w:type="dxa"/>
            <w:vAlign w:val="bottom"/>
            <w:tcBorders>
              <w:bottom w:val="single" w:sz="8" w:color="E6E6E6"/>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8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8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200" w:type="dxa"/>
            <w:vAlign w:val="bottom"/>
            <w:tcBorders>
              <w:bottom w:val="single" w:sz="8" w:color="E6E6E6"/>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Pr>
          <w:p>
            <w:pPr>
              <w:spacing w:after="0"/>
              <w:rPr>
                <w:sz w:val="17"/>
                <w:szCs w:val="17"/>
                <w:color w:val="auto"/>
              </w:rPr>
            </w:pPr>
          </w:p>
        </w:tc>
      </w:tr>
      <w:tr>
        <w:trPr>
          <w:trHeight w:val="220"/>
        </w:trPr>
        <w:tc>
          <w:tcPr>
            <w:tcW w:w="634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2024</w:t>
            </w:r>
          </w:p>
        </w:tc>
        <w:tc>
          <w:tcPr>
            <w:tcW w:w="1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232,215</w:t>
            </w:r>
          </w:p>
        </w:tc>
        <w:tc>
          <w:tcPr>
            <w:tcW w:w="360" w:type="dxa"/>
            <w:vAlign w:val="bottom"/>
            <w:gridSpan w:val="2"/>
            <w:shd w:val="clear" w:color="auto" w:fill="E6E6E6"/>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70,807</w:t>
            </w:r>
          </w:p>
        </w:tc>
        <w:tc>
          <w:tcPr>
            <w:tcW w:w="18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48,458</w:t>
            </w:r>
          </w:p>
        </w:tc>
        <w:tc>
          <w:tcPr>
            <w:tcW w:w="20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351,480</w:t>
            </w:r>
          </w:p>
        </w:tc>
        <w:tc>
          <w:tcPr>
            <w:tcW w:w="20" w:type="dxa"/>
            <w:vAlign w:val="bottom"/>
          </w:tcPr>
          <w:p>
            <w:pPr>
              <w:spacing w:after="0"/>
              <w:rPr>
                <w:sz w:val="19"/>
                <w:szCs w:val="19"/>
                <w:color w:val="auto"/>
              </w:rPr>
            </w:pP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Goodwill acquired or adjusted during the period</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33,804</w:t>
            </w:r>
          </w:p>
        </w:tc>
        <w:tc>
          <w:tcPr>
            <w:tcW w:w="20" w:type="dxa"/>
            <w:vAlign w:val="bottom"/>
          </w:tcPr>
          <w:p>
            <w:pPr>
              <w:spacing w:after="0"/>
              <w:rPr>
                <w:sz w:val="19"/>
                <w:szCs w:val="19"/>
                <w:color w:val="auto"/>
              </w:rPr>
            </w:pPr>
          </w:p>
        </w:tc>
      </w:tr>
      <w:tr>
        <w:trPr>
          <w:trHeight w:val="230"/>
        </w:trPr>
        <w:tc>
          <w:tcPr>
            <w:tcW w:w="634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100" w:type="dxa"/>
            <w:vAlign w:val="bottom"/>
            <w:tcBorders>
              <w:bottom w:val="single" w:sz="8" w:color="auto"/>
            </w:tcBorders>
            <w:shd w:val="clear" w:color="auto" w:fill="E6E6E6"/>
          </w:tcPr>
          <w:p>
            <w:pPr>
              <w:spacing w:after="0"/>
              <w:rPr>
                <w:sz w:val="20"/>
                <w:szCs w:val="20"/>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1,516</w:t>
            </w:r>
          </w:p>
        </w:tc>
        <w:tc>
          <w:tcPr>
            <w:tcW w:w="18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200" w:type="dxa"/>
            <w:vAlign w:val="bottom"/>
            <w:tcBorders>
              <w:right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2,109</w:t>
            </w:r>
          </w:p>
        </w:tc>
        <w:tc>
          <w:tcPr>
            <w:tcW w:w="20" w:type="dxa"/>
            <w:vAlign w:val="bottom"/>
          </w:tcPr>
          <w:p>
            <w:pPr>
              <w:spacing w:after="0"/>
              <w:rPr>
                <w:sz w:val="20"/>
                <w:szCs w:val="20"/>
                <w:color w:val="auto"/>
              </w:rPr>
            </w:pP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2025</w:t>
            </w: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266,365</w:t>
            </w:r>
          </w:p>
        </w:tc>
        <w:tc>
          <w:tcPr>
            <w:tcW w:w="180" w:type="dxa"/>
            <w:vAlign w:val="bottom"/>
          </w:tcPr>
          <w:p>
            <w:pPr>
              <w:spacing w:after="0"/>
              <w:rPr>
                <w:sz w:val="19"/>
                <w:szCs w:val="19"/>
                <w:color w:val="auto"/>
              </w:rPr>
            </w:pPr>
          </w:p>
        </w:tc>
        <w:tc>
          <w:tcPr>
            <w:tcW w:w="1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72,323</w:t>
            </w:r>
          </w:p>
        </w:tc>
        <w:tc>
          <w:tcPr>
            <w:tcW w:w="18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48,705</w:t>
            </w:r>
          </w:p>
        </w:tc>
        <w:tc>
          <w:tcPr>
            <w:tcW w:w="20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387,393</w:t>
            </w:r>
          </w:p>
        </w:tc>
        <w:tc>
          <w:tcPr>
            <w:tcW w:w="20" w:type="dxa"/>
            <w:vAlign w:val="bottom"/>
          </w:tcPr>
          <w:p>
            <w:pPr>
              <w:spacing w:after="0"/>
              <w:rPr>
                <w:sz w:val="19"/>
                <w:szCs w:val="19"/>
                <w:color w:val="auto"/>
              </w:rPr>
            </w:pPr>
          </w:p>
        </w:tc>
      </w:tr>
      <w:tr>
        <w:trPr>
          <w:trHeight w:val="230"/>
        </w:trPr>
        <w:tc>
          <w:tcPr>
            <w:tcW w:w="634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Goodwill acquired or adjusted during the period</w:t>
            </w:r>
          </w:p>
        </w:tc>
        <w:tc>
          <w:tcPr>
            <w:tcW w:w="10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20,548</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08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00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20,548</w:t>
            </w:r>
          </w:p>
        </w:tc>
        <w:tc>
          <w:tcPr>
            <w:tcW w:w="20" w:type="dxa"/>
            <w:vAlign w:val="bottom"/>
          </w:tcPr>
          <w:p>
            <w:pPr>
              <w:spacing w:after="0"/>
              <w:rPr>
                <w:sz w:val="20"/>
                <w:szCs w:val="20"/>
                <w:color w:val="auto"/>
              </w:rPr>
            </w:pPr>
          </w:p>
        </w:tc>
      </w:tr>
      <w:tr>
        <w:trPr>
          <w:trHeight w:val="229"/>
        </w:trPr>
        <w:tc>
          <w:tcPr>
            <w:tcW w:w="6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(1,157)</w:t>
            </w: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20" w:type="dxa"/>
            <w:vAlign w:val="bottom"/>
          </w:tcPr>
          <w:p>
            <w:pPr>
              <w:spacing w:after="0"/>
              <w:rPr>
                <w:sz w:val="19"/>
                <w:szCs w:val="19"/>
                <w:color w:val="auto"/>
              </w:rPr>
            </w:pPr>
          </w:p>
        </w:tc>
      </w:tr>
      <w:tr>
        <w:trPr>
          <w:trHeight w:val="20"/>
        </w:trPr>
        <w:tc>
          <w:tcPr>
            <w:tcW w:w="6340" w:type="dxa"/>
            <w:vAlign w:val="bottom"/>
            <w:tcBorders>
              <w:right w:val="single" w:sz="8" w:color="E6E6E6"/>
            </w:tcBorders>
            <w:shd w:val="clear" w:color="auto" w:fill="E6E6E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340" w:type="dxa"/>
            <w:vAlign w:val="bottom"/>
            <w:tcBorders>
              <w:right w:val="single" w:sz="8" w:color="E6E6E6"/>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Balance as of June 30, 2026</w:t>
            </w:r>
          </w:p>
        </w:tc>
        <w:tc>
          <w:tcPr>
            <w:tcW w:w="1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286,918</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71,166</w:t>
            </w:r>
          </w:p>
        </w:tc>
        <w:tc>
          <w:tcPr>
            <w:tcW w:w="18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48,593</w:t>
            </w:r>
          </w:p>
        </w:tc>
        <w:tc>
          <w:tcPr>
            <w:tcW w:w="200" w:type="dxa"/>
            <w:vAlign w:val="bottom"/>
            <w:tcBorders>
              <w:right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406,677</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800"/>
          </w:cols>
          <w:pgMar w:left="540" w:top="846" w:right="540" w:bottom="7" w:gutter="0" w:footer="0" w:header="0"/>
          <w:type w:val="continuous"/>
        </w:sectPr>
      </w:pPr>
    </w:p>
    <w:bookmarkStart w:id="86" w:name="page87"/>
    <w:bookmarkEnd w:id="86"/>
    <w:p>
      <w:pPr>
        <w:ind w:left="3500"/>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consisted of the following (dollar 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Lives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7"/>
                <w:szCs w:val="17"/>
                <w:color w:val="auto"/>
              </w:rPr>
            </w:pP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20"/>
        </w:trPr>
        <w:tc>
          <w:tcPr>
            <w:tcW w:w="392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Amortizable assets:</w:t>
            </w:r>
          </w:p>
        </w:tc>
        <w:tc>
          <w:tcPr>
            <w:tcW w:w="74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right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right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 years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91,386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(8,941)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$ 108,164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96,616</w:t>
            </w:r>
          </w:p>
        </w:tc>
        <w:tc>
          <w:tcPr>
            <w:tcW w:w="0" w:type="dxa"/>
            <w:vAlign w:val="bottom"/>
          </w:tcPr>
          <w:p>
            <w:pPr>
              <w:spacing w:after="0"/>
              <w:rPr>
                <w:sz w:val="1"/>
                <w:szCs w:val="1"/>
                <w:color w:val="auto"/>
              </w:rPr>
            </w:pPr>
          </w:p>
        </w:tc>
      </w:tr>
      <w:tr>
        <w:trPr>
          <w:trHeight w:val="229"/>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Patents</w:t>
            </w:r>
          </w:p>
        </w:tc>
        <w:tc>
          <w:tcPr>
            <w:tcW w:w="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19 years</w:t>
            </w:r>
          </w:p>
        </w:tc>
        <w:tc>
          <w:tcPr>
            <w:tcW w:w="14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9,617</w:t>
            </w:r>
          </w:p>
        </w:tc>
        <w:tc>
          <w:tcPr>
            <w:tcW w:w="1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tcBorders>
              <w:right w:val="single" w:sz="8" w:color="E6E6E6"/>
            </w:tcBorders>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(4,353)</w:t>
            </w: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5,264</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9,965</w:t>
            </w:r>
          </w:p>
        </w:tc>
        <w:tc>
          <w:tcPr>
            <w:tcW w:w="14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(4,690)</w:t>
            </w:r>
          </w:p>
        </w:tc>
        <w:tc>
          <w:tcPr>
            <w:tcW w:w="14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5,275</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(55,865)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49,896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(18,428)</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31,468</w:t>
            </w:r>
          </w:p>
        </w:tc>
        <w:tc>
          <w:tcPr>
            <w:tcW w:w="0" w:type="dxa"/>
            <w:vAlign w:val="bottom"/>
          </w:tcPr>
          <w:p>
            <w:pPr>
              <w:spacing w:after="0"/>
              <w:rPr>
                <w:sz w:val="1"/>
                <w:szCs w:val="1"/>
                <w:color w:val="auto"/>
              </w:rPr>
            </w:pPr>
          </w:p>
        </w:tc>
      </w:tr>
      <w:tr>
        <w:trPr>
          <w:trHeight w:val="230"/>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7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7 years</w:t>
            </w:r>
          </w:p>
        </w:tc>
        <w:tc>
          <w:tcPr>
            <w:tcW w:w="140" w:type="dxa"/>
            <w:vAlign w:val="bottom"/>
            <w:tcBorders>
              <w:right w:val="single" w:sz="8" w:color="E6E6E6"/>
            </w:tcBorders>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20,991</w:t>
            </w:r>
          </w:p>
        </w:tc>
        <w:tc>
          <w:tcPr>
            <w:tcW w:w="14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tcBorders>
              <w:right w:val="single" w:sz="8" w:color="E6E6E6"/>
            </w:tcBorders>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(9,380)</w:t>
            </w: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11,611</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23,840</w:t>
            </w:r>
          </w:p>
        </w:tc>
        <w:tc>
          <w:tcPr>
            <w:tcW w:w="140" w:type="dxa"/>
            <w:vAlign w:val="bottom"/>
            <w:tcBorders>
              <w:right w:val="single" w:sz="8" w:color="E6E6E6"/>
            </w:tcBorders>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(7,188)</w:t>
            </w:r>
          </w:p>
        </w:tc>
        <w:tc>
          <w:tcPr>
            <w:tcW w:w="14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16,652</w:t>
            </w:r>
          </w:p>
        </w:tc>
        <w:tc>
          <w:tcPr>
            <w:tcW w:w="0" w:type="dxa"/>
            <w:vAlign w:val="bottom"/>
          </w:tcPr>
          <w:p>
            <w:pPr>
              <w:spacing w:after="0"/>
              <w:rPr>
                <w:sz w:val="1"/>
                <w:szCs w:val="1"/>
                <w:color w:val="auto"/>
              </w:rPr>
            </w:pPr>
          </w:p>
        </w:tc>
      </w:tr>
      <w:tr>
        <w:trPr>
          <w:trHeight w:val="220"/>
        </w:trPr>
        <w:tc>
          <w:tcPr>
            <w:tcW w:w="392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amortizable assets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221,931</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(78,539)</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143,392</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191,865</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(41,854)</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150,011</w:t>
            </w:r>
          </w:p>
        </w:tc>
        <w:tc>
          <w:tcPr>
            <w:tcW w:w="0" w:type="dxa"/>
            <w:vAlign w:val="bottom"/>
          </w:tcPr>
          <w:p>
            <w:pPr>
              <w:spacing w:after="0"/>
              <w:rPr>
                <w:sz w:val="1"/>
                <w:szCs w:val="1"/>
                <w:color w:val="auto"/>
              </w:rPr>
            </w:pPr>
          </w:p>
        </w:tc>
      </w:tr>
      <w:tr>
        <w:trPr>
          <w:trHeight w:val="229"/>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Non-amortizable assets:</w:t>
            </w:r>
          </w:p>
        </w:tc>
        <w:tc>
          <w:tcPr>
            <w:tcW w:w="740" w:type="dxa"/>
            <w:vAlign w:val="bottom"/>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Trademarks</w:t>
            </w:r>
          </w:p>
        </w:tc>
        <w:tc>
          <w:tcPr>
            <w:tcW w:w="740" w:type="dxa"/>
            <w:vAlign w:val="bottom"/>
            <w:tcBorders>
              <w:bottom w:val="single" w:sz="8" w:color="E6E6E6"/>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39,898</w:t>
            </w:r>
          </w:p>
        </w:tc>
        <w:tc>
          <w:tcPr>
            <w:tcW w:w="14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39,898</w:t>
            </w:r>
          </w:p>
        </w:tc>
        <w:tc>
          <w:tcPr>
            <w:tcW w:w="160" w:type="dxa"/>
            <w:vAlign w:val="bottom"/>
            <w:tcBorders>
              <w:bottom w:val="single" w:sz="8" w:color="E6E6E6"/>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42,344</w:t>
            </w:r>
          </w:p>
        </w:tc>
        <w:tc>
          <w:tcPr>
            <w:tcW w:w="14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42,344</w:t>
            </w:r>
          </w:p>
        </w:tc>
        <w:tc>
          <w:tcPr>
            <w:tcW w:w="0" w:type="dxa"/>
            <w:vAlign w:val="bottom"/>
          </w:tcPr>
          <w:p>
            <w:pPr>
              <w:spacing w:after="0"/>
              <w:rPr>
                <w:sz w:val="1"/>
                <w:szCs w:val="1"/>
                <w:color w:val="auto"/>
              </w:rPr>
            </w:pPr>
          </w:p>
        </w:tc>
      </w:tr>
      <w:tr>
        <w:trPr>
          <w:trHeight w:val="221"/>
        </w:trPr>
        <w:tc>
          <w:tcPr>
            <w:tcW w:w="392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intangible assets</w:t>
            </w:r>
          </w:p>
        </w:tc>
        <w:tc>
          <w:tcPr>
            <w:tcW w:w="740" w:type="dxa"/>
            <w:vAlign w:val="bottom"/>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261,829</w:t>
            </w:r>
          </w:p>
        </w:tc>
        <w:tc>
          <w:tcPr>
            <w:tcW w:w="1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E6E6E6"/>
            </w:tcBorders>
            <w:gridSpan w:val="2"/>
            <w:shd w:val="clear" w:color="auto" w:fill="E6E6E6"/>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(78,539)</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183,290</w:t>
            </w:r>
          </w:p>
        </w:tc>
        <w:tc>
          <w:tcPr>
            <w:tcW w:w="1020" w:type="dxa"/>
            <w:vAlign w:val="bottom"/>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$ 234,209</w:t>
            </w:r>
          </w:p>
        </w:tc>
        <w:tc>
          <w:tcPr>
            <w:tcW w:w="300" w:type="dxa"/>
            <w:vAlign w:val="bottom"/>
            <w:gridSpan w:val="2"/>
            <w:shd w:val="clear" w:color="auto" w:fill="E6E6E6"/>
          </w:tcPr>
          <w:p>
            <w:pPr>
              <w:ind w:left="1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(41,854)</w:t>
            </w:r>
          </w:p>
        </w:tc>
        <w:tc>
          <w:tcPr>
            <w:tcW w:w="14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192,355</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Amortization expense related to intangible assets was $22.8 million, $21.6 million and $21.4 million for fiscal 2024, 2025 and 2026, respectively.</w:t>
      </w:r>
    </w:p>
    <w:p>
      <w:pPr>
        <w:spacing w:after="0" w:line="127" w:lineRule="exact"/>
        <w:rPr>
          <w:sz w:val="20"/>
          <w:szCs w:val="20"/>
          <w:color w:val="auto"/>
        </w:rPr>
      </w:pPr>
    </w:p>
    <w:tbl>
      <w:tblPr>
        <w:tblLayout w:type="fixed"/>
        <w:tblInd w:w="720" w:type="dxa"/>
        <w:tblCellMar>
          <w:top w:w="0" w:type="dxa"/>
          <w:left w:w="0" w:type="dxa"/>
          <w:bottom w:w="0" w:type="dxa"/>
          <w:right w:w="0" w:type="dxa"/>
        </w:tblCellMar>
      </w:tblPr>
      <w:tr>
        <w:trPr>
          <w:trHeight w:val="267"/>
        </w:trPr>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 June 30, 2026, the estimated future amortization expense was as follows (in thousands):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3"/>
        </w:trPr>
        <w:tc>
          <w:tcPr>
            <w:tcW w:w="36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73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14,108</w:t>
            </w:r>
          </w:p>
        </w:tc>
      </w:tr>
      <w:tr>
        <w:trPr>
          <w:trHeight w:val="230"/>
        </w:trPr>
        <w:tc>
          <w:tcPr>
            <w:tcW w:w="36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12,606</w:t>
            </w:r>
          </w:p>
        </w:tc>
      </w:tr>
      <w:tr>
        <w:trPr>
          <w:trHeight w:val="229"/>
        </w:trPr>
        <w:tc>
          <w:tcPr>
            <w:tcW w:w="360" w:type="dxa"/>
            <w:vAlign w:val="bottom"/>
          </w:tcPr>
          <w:p>
            <w:pPr>
              <w:spacing w:after="0"/>
              <w:rPr>
                <w:sz w:val="19"/>
                <w:szCs w:val="19"/>
                <w:color w:val="auto"/>
              </w:rPr>
            </w:pPr>
          </w:p>
        </w:tc>
        <w:tc>
          <w:tcPr>
            <w:tcW w:w="73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9,142</w:t>
            </w:r>
          </w:p>
        </w:tc>
      </w:tr>
      <w:tr>
        <w:trPr>
          <w:trHeight w:val="230"/>
        </w:trPr>
        <w:tc>
          <w:tcPr>
            <w:tcW w:w="36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8,043</w:t>
            </w:r>
          </w:p>
        </w:tc>
      </w:tr>
      <w:tr>
        <w:trPr>
          <w:trHeight w:val="230"/>
        </w:trPr>
        <w:tc>
          <w:tcPr>
            <w:tcW w:w="360" w:type="dxa"/>
            <w:vAlign w:val="bottom"/>
          </w:tcPr>
          <w:p>
            <w:pPr>
              <w:spacing w:after="0"/>
              <w:rPr>
                <w:sz w:val="20"/>
                <w:szCs w:val="20"/>
                <w:color w:val="auto"/>
              </w:rPr>
            </w:pPr>
          </w:p>
        </w:tc>
        <w:tc>
          <w:tcPr>
            <w:tcW w:w="73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2031</w:t>
            </w: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6,010</w:t>
            </w:r>
          </w:p>
        </w:tc>
      </w:tr>
      <w:tr>
        <w:trPr>
          <w:trHeight w:val="229"/>
        </w:trPr>
        <w:tc>
          <w:tcPr>
            <w:tcW w:w="360" w:type="dxa"/>
            <w:vAlign w:val="bottom"/>
          </w:tcPr>
          <w:p>
            <w:pPr>
              <w:spacing w:after="0"/>
              <w:rPr>
                <w:sz w:val="19"/>
                <w:szCs w:val="19"/>
                <w:color w:val="auto"/>
              </w:rPr>
            </w:pPr>
          </w:p>
        </w:tc>
        <w:tc>
          <w:tcPr>
            <w:tcW w:w="73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100,102</w:t>
            </w:r>
          </w:p>
        </w:tc>
      </w:tr>
      <w:tr>
        <w:trPr>
          <w:trHeight w:val="230"/>
        </w:trPr>
        <w:tc>
          <w:tcPr>
            <w:tcW w:w="360" w:type="dxa"/>
            <w:vAlign w:val="bottom"/>
          </w:tcPr>
          <w:p>
            <w:pPr>
              <w:spacing w:after="0"/>
              <w:rPr>
                <w:sz w:val="20"/>
                <w:szCs w:val="20"/>
                <w:color w:val="auto"/>
              </w:rPr>
            </w:pPr>
          </w:p>
        </w:tc>
        <w:tc>
          <w:tcPr>
            <w:tcW w:w="7340" w:type="dxa"/>
            <w:vAlign w:val="bottom"/>
            <w:shd w:val="clear" w:color="auto" w:fill="E6E6E6"/>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shd w:val="clear" w:color="auto" w:fill="E6E6E6"/>
          </w:tcPr>
          <w:p>
            <w:pPr>
              <w:spacing w:after="0"/>
              <w:rPr>
                <w:sz w:val="20"/>
                <w:szCs w:val="20"/>
                <w:color w:val="auto"/>
              </w:rPr>
            </w:pPr>
          </w:p>
        </w:tc>
        <w:tc>
          <w:tcPr>
            <w:tcW w:w="240" w:type="dxa"/>
            <w:vAlign w:val="bottom"/>
            <w:tcBorders>
              <w:bottom w:val="single" w:sz="8" w:color="auto"/>
            </w:tcBorders>
            <w:gridSpan w:val="2"/>
            <w:shd w:val="clear" w:color="auto" w:fill="E6E6E6"/>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150,011</w:t>
            </w:r>
          </w:p>
        </w:tc>
      </w:tr>
    </w:tbl>
    <w:p>
      <w:pPr>
        <w:spacing w:after="0" w:line="211"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During fiscal 2024, 2025 and 2026, we capitalized software development costs in the amounts of $16.6 million, $16.9 million and $17.2 million, respectively.</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800"/>
          </w:cols>
          <w:pgMar w:left="540" w:top="846" w:right="540" w:bottom="7" w:gutter="0" w:footer="0" w:header="0"/>
          <w:type w:val="continuous"/>
        </w:sectPr>
      </w:pPr>
    </w:p>
    <w:bookmarkStart w:id="87" w:name="page88"/>
    <w:bookmarkEnd w:id="87"/>
    <w:p>
      <w:pPr>
        <w:jc w:val="center"/>
        <w:spacing w:after="0" w:line="448"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2" w:lineRule="exact"/>
        <w:rPr>
          <w:sz w:val="20"/>
          <w:szCs w:val="20"/>
          <w:color w:val="auto"/>
        </w:rPr>
      </w:pPr>
    </w:p>
    <w:p>
      <w:pPr>
        <w:ind w:left="720" w:hanging="720"/>
        <w:spacing w:after="0"/>
        <w:tabs>
          <w:tab w:leader="none" w:pos="7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 ASSETS AND LIABILITIES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table below shows the balance of contract assets and liabilities as of June 30, 2025 and 2026, including the change between the periods. There were no substantial non-current contract assets for the periods presented.</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Contract Assets (dollar amounts in thousands)</w:t>
      </w:r>
    </w:p>
    <w:p>
      <w:pPr>
        <w:spacing w:after="0" w:line="264" w:lineRule="exact"/>
        <w:rPr>
          <w:sz w:val="20"/>
          <w:szCs w:val="20"/>
          <w:color w:val="auto"/>
        </w:rPr>
      </w:pPr>
    </w:p>
    <w:tbl>
      <w:tblPr>
        <w:tblLayout w:type="fixed"/>
        <w:tblInd w:w="7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360" w:type="dxa"/>
            <w:vAlign w:val="bottom"/>
          </w:tcPr>
          <w:p>
            <w:pPr>
              <w:spacing w:after="0"/>
              <w:rPr>
                <w:sz w:val="19"/>
                <w:szCs w:val="19"/>
                <w:color w:val="auto"/>
              </w:rPr>
            </w:pPr>
          </w:p>
        </w:tc>
        <w:tc>
          <w:tcPr>
            <w:tcW w:w="414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Unbilled revenue (included in accounts receivable,</w:t>
            </w:r>
          </w:p>
        </w:tc>
        <w:tc>
          <w:tcPr>
            <w:tcW w:w="20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00" w:type="dxa"/>
            <w:vAlign w:val="bottom"/>
            <w:tcBorders>
              <w:top w:val="single" w:sz="8" w:color="auto"/>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780" w:type="dxa"/>
            <w:vAlign w:val="bottom"/>
            <w:tcBorders>
              <w:top w:val="single" w:sz="8" w:color="auto"/>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80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414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net)</w:t>
            </w:r>
          </w:p>
        </w:tc>
        <w:tc>
          <w:tcPr>
            <w:tcW w:w="3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242,742</w:t>
            </w:r>
          </w:p>
        </w:tc>
        <w:tc>
          <w:tcPr>
            <w:tcW w:w="32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190,913</w:t>
            </w:r>
          </w:p>
        </w:tc>
        <w:tc>
          <w:tcPr>
            <w:tcW w:w="36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(51,829)</w:t>
            </w: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48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Contract Liabilities (dollar amounts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4140" w:type="dxa"/>
            <w:vAlign w:val="bottom"/>
            <w:tcBorders>
              <w:bottom w:val="single" w:sz="8" w:color="E6E6E6"/>
            </w:tcBorders>
          </w:tcPr>
          <w:p>
            <w:pPr>
              <w:spacing w:after="0"/>
              <w:rPr>
                <w:sz w:val="17"/>
                <w:szCs w:val="17"/>
                <w:color w:val="auto"/>
              </w:rPr>
            </w:pPr>
          </w:p>
        </w:tc>
        <w:tc>
          <w:tcPr>
            <w:tcW w:w="20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bottom w:val="single" w:sz="8" w:color="E6E6E6"/>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Borders>
              <w:bottom w:val="single" w:sz="8" w:color="E6E6E6"/>
            </w:tcBorders>
          </w:tcPr>
          <w:p>
            <w:pPr>
              <w:spacing w:after="0"/>
              <w:rPr>
                <w:sz w:val="17"/>
                <w:szCs w:val="17"/>
                <w:color w:val="auto"/>
              </w:rPr>
            </w:pPr>
          </w:p>
        </w:tc>
      </w:tr>
      <w:tr>
        <w:trPr>
          <w:trHeight w:val="220"/>
        </w:trPr>
        <w:tc>
          <w:tcPr>
            <w:tcW w:w="360" w:type="dxa"/>
            <w:vAlign w:val="bottom"/>
          </w:tcPr>
          <w:p>
            <w:pPr>
              <w:spacing w:after="0"/>
              <w:rPr>
                <w:sz w:val="19"/>
                <w:szCs w:val="19"/>
                <w:color w:val="auto"/>
              </w:rPr>
            </w:pPr>
          </w:p>
        </w:tc>
        <w:tc>
          <w:tcPr>
            <w:tcW w:w="41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Advances from customers</w:t>
            </w:r>
          </w:p>
        </w:tc>
        <w:tc>
          <w:tcPr>
            <w:tcW w:w="20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68,184</w:t>
            </w:r>
          </w:p>
        </w:tc>
        <w:tc>
          <w:tcPr>
            <w:tcW w:w="320" w:type="dxa"/>
            <w:vAlign w:val="bottom"/>
            <w:gridSpan w:val="2"/>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42,391</w:t>
            </w:r>
          </w:p>
        </w:tc>
        <w:tc>
          <w:tcPr>
            <w:tcW w:w="360" w:type="dxa"/>
            <w:vAlign w:val="bottom"/>
            <w:gridSpan w:val="2"/>
            <w:shd w:val="clear" w:color="auto" w:fill="E6E6E6"/>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6E6E6"/>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(25,793)</w:t>
            </w:r>
          </w:p>
        </w:tc>
        <w:tc>
          <w:tcPr>
            <w:tcW w:w="96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(38)%</w:t>
            </w:r>
          </w:p>
        </w:tc>
      </w:tr>
      <w:tr>
        <w:trPr>
          <w:trHeight w:val="230"/>
        </w:trPr>
        <w:tc>
          <w:tcPr>
            <w:tcW w:w="3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revenue—current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13,248</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29"/>
        </w:trPr>
        <w:tc>
          <w:tcPr>
            <w:tcW w:w="360" w:type="dxa"/>
            <w:vAlign w:val="bottom"/>
          </w:tcPr>
          <w:p>
            <w:pPr>
              <w:spacing w:after="0"/>
              <w:rPr>
                <w:sz w:val="19"/>
                <w:szCs w:val="19"/>
                <w:color w:val="auto"/>
              </w:rPr>
            </w:pPr>
          </w:p>
        </w:tc>
        <w:tc>
          <w:tcPr>
            <w:tcW w:w="41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Deferred revenue—long-term</w:t>
            </w:r>
          </w:p>
        </w:tc>
        <w:tc>
          <w:tcPr>
            <w:tcW w:w="2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18,856</w:t>
            </w:r>
          </w:p>
        </w:tc>
        <w:tc>
          <w:tcPr>
            <w:tcW w:w="1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20,857</w:t>
            </w:r>
          </w:p>
        </w:tc>
        <w:tc>
          <w:tcPr>
            <w:tcW w:w="2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20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11 %</w:t>
            </w:r>
          </w:p>
        </w:tc>
      </w:tr>
    </w:tbl>
    <w:p>
      <w:pPr>
        <w:spacing w:after="0" w:line="211"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Contract Assets. </w:t>
      </w:r>
      <w:r>
        <w:rPr>
          <w:rFonts w:ascii="Times New Roman" w:cs="Times New Roman" w:eastAsia="Times New Roman" w:hAnsi="Times New Roman"/>
          <w:sz w:val="20"/>
          <w:szCs w:val="20"/>
          <w:color w:val="auto"/>
        </w:rPr>
        <w:t>Contract assets decreased by approximately $51.8 million as a result of unbilled revenue primarily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timing and nature of milestones met in contracts for a number of customers in our Security Division, both within the United States and internationally, where we met the contractual terms to prepare invoices to the customers that reduce unbilled revenue, partially offset by transactions where we met the revenue recognition criteria under ASC 606 in advance of the time when contracts give us the right to invoice customers.</w:t>
      </w:r>
    </w:p>
    <w:p>
      <w:pPr>
        <w:spacing w:after="0" w:line="19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i w:val="1"/>
          <w:iCs w:val="1"/>
          <w:color w:val="auto"/>
        </w:rPr>
        <w:t>Remaining Performance Obligations</w:t>
      </w:r>
      <w:r>
        <w:rPr>
          <w:rFonts w:ascii="Times New Roman" w:cs="Times New Roman" w:eastAsia="Times New Roman" w:hAnsi="Times New Roman"/>
          <w:sz w:val="20"/>
          <w:szCs w:val="20"/>
          <w:color w:val="auto"/>
        </w:rPr>
        <w:t>. Remaining performance obligations related to ASC 606 represent the portion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price allocated to performance obligations under contracts which are fully or partially unsatisfied at the end of the period. As of June 30, 2026 and 2025 the aggregate portion of the transaction price allocated to remaining performance obligations was approximately $1.8 billion. During fiscal 2026, we revised the scope of the disclosure of remaining performance obligations to no longer apply the optional disclosure-only exemption in ASC 606 -10-50-14(a) that permits an entity to not disclose information about remaining performance obligations for performance obligations that are part of contracts with an original expected duration of one year or less. We believe this change is preferable under the circumstances because the new disclosure provides more useful information to users of the financial statements by presenting a more comprehensive measure of remaining performance obligations. The prior year amount has been revised to conform to the current year presentation. This change only affected the scope of the disclosure of remaining performance obligations and did not affect revenue recognition, results of operations or financial position. As of June 30, 2026, we expect to recognize revenue on approximately 59% of the remaining performance obligations over the next 12 months, and the remainder is expected to be recognized thereafter. During the fiscal year ended June 30, 2026, we recognized revenue of $110.0 million from contract liabilities existing as of July 1, 2025.</w:t>
      </w:r>
    </w:p>
    <w:p>
      <w:pPr>
        <w:spacing w:after="0" w:line="20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Practical Expedients. </w:t>
      </w:r>
      <w:r>
        <w:rPr>
          <w:rFonts w:ascii="Times New Roman" w:cs="Times New Roman" w:eastAsia="Times New Roman" w:hAnsi="Times New Roman"/>
          <w:sz w:val="20"/>
          <w:szCs w:val="20"/>
          <w:color w:val="auto"/>
        </w:rPr>
        <w:t>In cases where we are responsible for shipping after the customer has obtained control of the goods,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800"/>
          </w:cols>
          <w:pgMar w:left="540" w:top="846" w:right="540" w:bottom="7" w:gutter="0" w:footer="0" w:header="0"/>
          <w:type w:val="continuous"/>
        </w:sectPr>
      </w:pPr>
    </w:p>
    <w:bookmarkStart w:id="88" w:name="page89"/>
    <w:bookmarkEnd w:id="88"/>
    <w:p>
      <w:pPr>
        <w:jc w:val="center"/>
        <w:spacing w:after="0" w:line="448"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2" w:lineRule="exact"/>
        <w:rPr>
          <w:sz w:val="20"/>
          <w:szCs w:val="20"/>
          <w:color w:val="auto"/>
        </w:rPr>
      </w:pPr>
    </w:p>
    <w:p>
      <w:pPr>
        <w:ind w:left="720" w:hanging="720"/>
        <w:spacing w:after="0"/>
        <w:tabs>
          <w:tab w:leader="none" w:pos="72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44"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operating lease expense for the fiscal years ended June 30, 2025 and 2026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Fiscal Year Ended June 30,</w:t>
            </w:r>
          </w:p>
        </w:tc>
      </w:tr>
      <w:tr>
        <w:trPr>
          <w:trHeight w:val="174"/>
        </w:trPr>
        <w:tc>
          <w:tcPr>
            <w:tcW w:w="83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4"/>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838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12,342</w:t>
            </w:r>
          </w:p>
        </w:tc>
        <w:tc>
          <w:tcPr>
            <w:tcW w:w="500" w:type="dxa"/>
            <w:vAlign w:val="bottom"/>
            <w:gridSpan w:val="3"/>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15,277</w:t>
            </w:r>
          </w:p>
        </w:tc>
      </w:tr>
      <w:tr>
        <w:trPr>
          <w:trHeight w:val="230"/>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r>
      <w:tr>
        <w:trPr>
          <w:trHeight w:val="229"/>
        </w:trPr>
        <w:tc>
          <w:tcPr>
            <w:tcW w:w="83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18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1,673</w:t>
            </w: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spacing w:after="0"/>
              <w:rPr>
                <w:sz w:val="19"/>
                <w:szCs w:val="19"/>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997</w:t>
            </w:r>
          </w:p>
        </w:tc>
      </w:tr>
      <w:tr>
        <w:trPr>
          <w:trHeight w:val="230"/>
        </w:trPr>
        <w:tc>
          <w:tcPr>
            <w:tcW w:w="8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14,969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17,266</w:t>
            </w: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Supplemental balance sheet assets and liabilities related to operating leases were as follows (dollar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Borders>
              <w:bottom w:val="single" w:sz="8" w:color="E6E6E6"/>
            </w:tcBorders>
          </w:tcPr>
          <w:p>
            <w:pPr>
              <w:spacing w:after="0"/>
              <w:rPr>
                <w:sz w:val="17"/>
                <w:szCs w:val="17"/>
                <w:color w:val="auto"/>
              </w:rPr>
            </w:pPr>
          </w:p>
        </w:tc>
        <w:tc>
          <w:tcPr>
            <w:tcW w:w="2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Sheet Category</w:t>
            </w:r>
          </w:p>
        </w:tc>
        <w:tc>
          <w:tcPr>
            <w:tcW w:w="28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80" w:type="dxa"/>
            <w:vAlign w:val="bottom"/>
            <w:tcBorders>
              <w:bottom w:val="single" w:sz="8" w:color="E6E6E6"/>
            </w:tcBorders>
          </w:tcPr>
          <w:p>
            <w:pPr>
              <w:spacing w:after="0"/>
              <w:rPr>
                <w:sz w:val="17"/>
                <w:szCs w:val="17"/>
                <w:color w:val="auto"/>
              </w:rPr>
            </w:pPr>
          </w:p>
        </w:tc>
      </w:tr>
      <w:tr>
        <w:trPr>
          <w:trHeight w:val="229"/>
        </w:trPr>
        <w:tc>
          <w:tcPr>
            <w:tcW w:w="50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Operating lease ROU assets, net</w:t>
            </w:r>
          </w:p>
        </w:tc>
        <w:tc>
          <w:tcPr>
            <w:tcW w:w="2360" w:type="dxa"/>
            <w:vAlign w:val="bottom"/>
            <w:shd w:val="clear" w:color="auto" w:fill="E6E6E6"/>
          </w:tcPr>
          <w:p>
            <w:pPr>
              <w:jc w:val="center"/>
              <w:ind w:left="84"/>
              <w:spacing w:after="0" w:line="220" w:lineRule="exact"/>
              <w:rPr>
                <w:sz w:val="20"/>
                <w:szCs w:val="20"/>
                <w:color w:val="auto"/>
              </w:rPr>
            </w:pPr>
            <w:r>
              <w:rPr>
                <w:rFonts w:ascii="Times New Roman" w:cs="Times New Roman" w:eastAsia="Times New Roman" w:hAnsi="Times New Roman"/>
                <w:sz w:val="20"/>
                <w:szCs w:val="20"/>
                <w:color w:val="auto"/>
              </w:rPr>
              <w:t>Other assets</w:t>
            </w:r>
          </w:p>
        </w:tc>
        <w:tc>
          <w:tcPr>
            <w:tcW w:w="44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32,040</w:t>
            </w:r>
          </w:p>
        </w:tc>
        <w:tc>
          <w:tcPr>
            <w:tcW w:w="420" w:type="dxa"/>
            <w:vAlign w:val="bottom"/>
            <w:gridSpan w:val="2"/>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47,877</w:t>
            </w:r>
          </w:p>
        </w:tc>
        <w:tc>
          <w:tcPr>
            <w:tcW w:w="180" w:type="dxa"/>
            <w:vAlign w:val="bottom"/>
            <w:shd w:val="clear" w:color="auto" w:fill="E6E6E6"/>
          </w:tcPr>
          <w:p>
            <w:pPr>
              <w:spacing w:after="0"/>
              <w:rPr>
                <w:sz w:val="19"/>
                <w:szCs w:val="19"/>
                <w:color w:val="auto"/>
              </w:rPr>
            </w:pPr>
          </w:p>
        </w:tc>
      </w:tr>
      <w:tr>
        <w:trPr>
          <w:trHeight w:val="232"/>
        </w:trPr>
        <w:tc>
          <w:tcPr>
            <w:tcW w:w="5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080" w:type="dxa"/>
            <w:vAlign w:val="bottom"/>
            <w:shd w:val="clear" w:color="auto" w:fill="E6E6E6"/>
          </w:tcPr>
          <w:p>
            <w:pPr>
              <w:spacing w:after="0"/>
              <w:rPr>
                <w:sz w:val="20"/>
                <w:szCs w:val="20"/>
                <w:color w:val="auto"/>
              </w:rPr>
            </w:pPr>
          </w:p>
        </w:tc>
        <w:tc>
          <w:tcPr>
            <w:tcW w:w="2360" w:type="dxa"/>
            <w:vAlign w:val="bottom"/>
            <w:shd w:val="clear" w:color="auto" w:fill="E6E6E6"/>
          </w:tcPr>
          <w:p>
            <w:pPr>
              <w:jc w:val="center"/>
              <w:ind w:left="84"/>
              <w:spacing w:after="0"/>
              <w:rPr>
                <w:sz w:val="20"/>
                <w:szCs w:val="20"/>
                <w:color w:val="auto"/>
              </w:rPr>
            </w:pPr>
            <w:r>
              <w:rPr>
                <w:rFonts w:ascii="Times New Roman" w:cs="Times New Roman" w:eastAsia="Times New Roman" w:hAnsi="Times New Roman"/>
                <w:sz w:val="20"/>
                <w:szCs w:val="20"/>
                <w:color w:val="auto"/>
              </w:rPr>
              <w:t>Other accrued expenses</w:t>
            </w:r>
          </w:p>
        </w:tc>
        <w:tc>
          <w:tcPr>
            <w:tcW w:w="2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r>
      <w:tr>
        <w:trPr>
          <w:trHeight w:val="229"/>
        </w:trPr>
        <w:tc>
          <w:tcPr>
            <w:tcW w:w="50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 liabilities, current portion</w:t>
            </w:r>
          </w:p>
        </w:tc>
        <w:tc>
          <w:tcPr>
            <w:tcW w:w="2360" w:type="dxa"/>
            <w:vAlign w:val="bottom"/>
            <w:shd w:val="clear" w:color="auto" w:fill="E6E6E6"/>
          </w:tcPr>
          <w:p>
            <w:pPr>
              <w:jc w:val="center"/>
              <w:ind w:left="84"/>
              <w:spacing w:after="0"/>
              <w:rPr>
                <w:sz w:val="20"/>
                <w:szCs w:val="20"/>
                <w:color w:val="auto"/>
              </w:rPr>
            </w:pPr>
            <w:r>
              <w:rPr>
                <w:rFonts w:ascii="Times New Roman" w:cs="Times New Roman" w:eastAsia="Times New Roman" w:hAnsi="Times New Roman"/>
                <w:sz w:val="20"/>
                <w:szCs w:val="20"/>
                <w:color w:val="auto"/>
                <w:w w:val="99"/>
              </w:rPr>
              <w:t>and current liabilities</w:t>
            </w:r>
          </w:p>
        </w:tc>
        <w:tc>
          <w:tcPr>
            <w:tcW w:w="28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11,712</w:t>
            </w:r>
          </w:p>
        </w:tc>
        <w:tc>
          <w:tcPr>
            <w:tcW w:w="42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13,115</w:t>
            </w:r>
          </w:p>
        </w:tc>
        <w:tc>
          <w:tcPr>
            <w:tcW w:w="180" w:type="dxa"/>
            <w:vAlign w:val="bottom"/>
            <w:shd w:val="clear" w:color="auto" w:fill="E6E6E6"/>
          </w:tcPr>
          <w:p>
            <w:pPr>
              <w:spacing w:after="0"/>
              <w:rPr>
                <w:sz w:val="19"/>
                <w:szCs w:val="19"/>
                <w:color w:val="auto"/>
              </w:rPr>
            </w:pPr>
          </w:p>
        </w:tc>
      </w:tr>
      <w:tr>
        <w:trPr>
          <w:trHeight w:val="230"/>
        </w:trPr>
        <w:tc>
          <w:tcPr>
            <w:tcW w:w="50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Operating lease liabilities, long-term</w:t>
            </w:r>
          </w:p>
        </w:tc>
        <w:tc>
          <w:tcPr>
            <w:tcW w:w="2360" w:type="dxa"/>
            <w:vAlign w:val="bottom"/>
            <w:tcBorders>
              <w:bottom w:val="single" w:sz="8" w:color="E6E6E6"/>
            </w:tcBorders>
          </w:tcPr>
          <w:p>
            <w:pPr>
              <w:jc w:val="center"/>
              <w:ind w:left="104"/>
              <w:spacing w:after="0"/>
              <w:rPr>
                <w:sz w:val="20"/>
                <w:szCs w:val="20"/>
                <w:color w:val="auto"/>
              </w:rPr>
            </w:pPr>
            <w:r>
              <w:rPr>
                <w:rFonts w:ascii="Times New Roman" w:cs="Times New Roman" w:eastAsia="Times New Roman" w:hAnsi="Times New Roman"/>
                <w:sz w:val="20"/>
                <w:szCs w:val="20"/>
                <w:color w:val="auto"/>
                <w:w w:val="99"/>
              </w:rPr>
              <w:t>Other long-term liabilities</w:t>
            </w:r>
          </w:p>
        </w:tc>
        <w:tc>
          <w:tcPr>
            <w:tcW w:w="2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20,977</w:t>
            </w:r>
          </w:p>
        </w:tc>
        <w:tc>
          <w:tcPr>
            <w:tcW w:w="28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35,678</w:t>
            </w:r>
          </w:p>
        </w:tc>
        <w:tc>
          <w:tcPr>
            <w:tcW w:w="180" w:type="dxa"/>
            <w:vAlign w:val="bottom"/>
            <w:tcBorders>
              <w:bottom w:val="single" w:sz="8" w:color="E6E6E6"/>
            </w:tcBorders>
          </w:tcPr>
          <w:p>
            <w:pPr>
              <w:spacing w:after="0"/>
              <w:rPr>
                <w:sz w:val="20"/>
                <w:szCs w:val="20"/>
                <w:color w:val="auto"/>
              </w:rPr>
            </w:pPr>
          </w:p>
        </w:tc>
      </w:tr>
      <w:tr>
        <w:trPr>
          <w:trHeight w:val="229"/>
        </w:trPr>
        <w:tc>
          <w:tcPr>
            <w:tcW w:w="508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23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32,689</w:t>
            </w:r>
          </w:p>
        </w:tc>
        <w:tc>
          <w:tcPr>
            <w:tcW w:w="420" w:type="dxa"/>
            <w:vAlign w:val="bottom"/>
            <w:gridSpan w:val="2"/>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48,793</w:t>
            </w:r>
          </w:p>
        </w:tc>
        <w:tc>
          <w:tcPr>
            <w:tcW w:w="180" w:type="dxa"/>
            <w:vAlign w:val="bottom"/>
            <w:shd w:val="clear" w:color="auto" w:fill="E6E6E6"/>
          </w:tcPr>
          <w:p>
            <w:pPr>
              <w:spacing w:after="0"/>
              <w:rPr>
                <w:sz w:val="19"/>
                <w:szCs w:val="19"/>
                <w:color w:val="auto"/>
              </w:rPr>
            </w:pPr>
          </w:p>
        </w:tc>
      </w:tr>
      <w:tr>
        <w:trPr>
          <w:trHeight w:val="232"/>
        </w:trPr>
        <w:tc>
          <w:tcPr>
            <w:tcW w:w="5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50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23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6.1 Years</w:t>
            </w:r>
          </w:p>
        </w:tc>
      </w:tr>
      <w:tr>
        <w:trPr>
          <w:trHeight w:val="267"/>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2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5.7 %</w:t>
            </w:r>
          </w:p>
        </w:tc>
      </w:tr>
    </w:tbl>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Supplemental cash flow information related to operating leases for the year ended June 30, 2026 was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Fiscal Year Ended June 30,</w:t>
            </w:r>
          </w:p>
        </w:tc>
      </w:tr>
      <w:tr>
        <w:trPr>
          <w:trHeight w:val="174"/>
        </w:trPr>
        <w:tc>
          <w:tcPr>
            <w:tcW w:w="8380" w:type="dxa"/>
            <w:vAlign w:val="bottom"/>
            <w:tcBorders>
              <w:bottom w:val="single" w:sz="8" w:color="E6E6E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E6E6E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83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Cash paid for operating lease liabilities</w:t>
            </w:r>
          </w:p>
        </w:tc>
        <w:tc>
          <w:tcPr>
            <w:tcW w:w="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13,047</w:t>
            </w:r>
          </w:p>
        </w:tc>
        <w:tc>
          <w:tcPr>
            <w:tcW w:w="500" w:type="dxa"/>
            <w:vAlign w:val="bottom"/>
            <w:gridSpan w:val="2"/>
            <w:shd w:val="clear" w:color="auto" w:fill="E6E6E6"/>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14,908</w:t>
            </w:r>
          </w:p>
        </w:tc>
      </w:tr>
      <w:tr>
        <w:trPr>
          <w:trHeight w:val="267"/>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auto"/>
              </w:rPr>
              <w:t>ROU assets obtained in exchange for new lease obligations</w:t>
            </w:r>
          </w:p>
        </w:tc>
        <w:tc>
          <w:tcPr>
            <w:tcW w:w="18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11,628</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28,408</w:t>
            </w:r>
          </w:p>
        </w:tc>
      </w:tr>
      <w:tr>
        <w:trPr>
          <w:trHeight w:val="440"/>
        </w:trPr>
        <w:tc>
          <w:tcPr>
            <w:tcW w:w="83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Maturities of operating lease liabilities at June 30, 2026 were as follows (in thousands):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7"/>
        </w:trPr>
        <w:tc>
          <w:tcPr>
            <w:tcW w:w="83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20"/>
        </w:trPr>
        <w:tc>
          <w:tcPr>
            <w:tcW w:w="83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Less than one year</w:t>
            </w:r>
          </w:p>
        </w:tc>
        <w:tc>
          <w:tcPr>
            <w:tcW w:w="180" w:type="dxa"/>
            <w:vAlign w:val="bottom"/>
            <w:shd w:val="clear" w:color="auto" w:fill="E6E6E6"/>
          </w:tcPr>
          <w:p>
            <w:pPr>
              <w:spacing w:after="0"/>
              <w:rPr>
                <w:sz w:val="19"/>
                <w:szCs w:val="19"/>
                <w:color w:val="auto"/>
              </w:rPr>
            </w:pPr>
          </w:p>
        </w:tc>
        <w:tc>
          <w:tcPr>
            <w:tcW w:w="9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15,403</w:t>
            </w: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auto"/>
              </w:rPr>
              <w:t>1 – 2 years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10,045</w:t>
            </w:r>
          </w:p>
        </w:tc>
      </w:tr>
      <w:tr>
        <w:trPr>
          <w:trHeight w:val="230"/>
        </w:trPr>
        <w:tc>
          <w:tcPr>
            <w:tcW w:w="83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 – 3 years</w:t>
            </w:r>
          </w:p>
        </w:tc>
        <w:tc>
          <w:tcPr>
            <w:tcW w:w="18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6,883</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auto"/>
              </w:rPr>
              <w:t>3 – 4 years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4,988</w:t>
            </w:r>
          </w:p>
        </w:tc>
      </w:tr>
      <w:tr>
        <w:trPr>
          <w:trHeight w:val="229"/>
        </w:trPr>
        <w:tc>
          <w:tcPr>
            <w:tcW w:w="83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4 – 5 years</w:t>
            </w:r>
          </w:p>
        </w:tc>
        <w:tc>
          <w:tcPr>
            <w:tcW w:w="1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4,091</w:t>
            </w:r>
          </w:p>
        </w:tc>
      </w:tr>
      <w:tr>
        <w:trPr>
          <w:trHeight w:val="230"/>
        </w:trPr>
        <w:tc>
          <w:tcPr>
            <w:tcW w:w="83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E6E6E6"/>
            </w:tcBorders>
          </w:tcPr>
          <w:p>
            <w:pPr>
              <w:spacing w:after="0"/>
              <w:rPr>
                <w:sz w:val="20"/>
                <w:szCs w:val="20"/>
                <w:color w:val="auto"/>
              </w:rPr>
            </w:pPr>
          </w:p>
        </w:tc>
        <w:tc>
          <w:tcPr>
            <w:tcW w:w="72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16,929</w:t>
            </w:r>
          </w:p>
        </w:tc>
      </w:tr>
      <w:tr>
        <w:trPr>
          <w:trHeight w:val="220"/>
        </w:trPr>
        <w:tc>
          <w:tcPr>
            <w:tcW w:w="83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58,339</w:t>
            </w:r>
          </w:p>
        </w:tc>
      </w:tr>
      <w:tr>
        <w:trPr>
          <w:trHeight w:val="230"/>
        </w:trPr>
        <w:tc>
          <w:tcPr>
            <w:tcW w:w="83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80" w:type="dxa"/>
            <w:vAlign w:val="bottom"/>
            <w:tcBorders>
              <w:bottom w:val="single" w:sz="8" w:color="E6E6E6"/>
            </w:tcBorders>
          </w:tcPr>
          <w:p>
            <w:pPr>
              <w:spacing w:after="0"/>
              <w:rPr>
                <w:sz w:val="20"/>
                <w:szCs w:val="20"/>
                <w:color w:val="auto"/>
              </w:rPr>
            </w:pPr>
          </w:p>
        </w:tc>
        <w:tc>
          <w:tcPr>
            <w:tcW w:w="72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(9,546)</w:t>
            </w:r>
          </w:p>
        </w:tc>
      </w:tr>
      <w:tr>
        <w:trPr>
          <w:trHeight w:val="230"/>
        </w:trPr>
        <w:tc>
          <w:tcPr>
            <w:tcW w:w="83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 lease liabilities</w:t>
            </w:r>
          </w:p>
        </w:tc>
        <w:tc>
          <w:tcPr>
            <w:tcW w:w="18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Borders>
              <w:bottom w:val="single" w:sz="8" w:color="auto"/>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8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48,793</w:t>
            </w:r>
          </w:p>
        </w:tc>
      </w:tr>
    </w:tbl>
    <w:p>
      <w:pPr>
        <w:spacing w:after="0" w:line="292" w:lineRule="exact"/>
        <w:rPr>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IMPAIRMENT, RESTRUCTURING AND OTHER CHARGES</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We endeavor to align our global capacity and infrastructure with demand by our customers as well as fully integrate acquisitions and thereby improve operational efficiency.</w:t>
      </w:r>
    </w:p>
    <w:p>
      <w:pPr>
        <w:spacing w:after="0" w:line="168" w:lineRule="exact"/>
        <w:rPr>
          <w:sz w:val="20"/>
          <w:szCs w:val="20"/>
          <w:color w:val="auto"/>
        </w:rPr>
      </w:pPr>
    </w:p>
    <w:p>
      <w:pPr>
        <w:ind w:firstLine="720"/>
        <w:spacing w:after="0" w:line="304" w:lineRule="auto"/>
        <w:rPr>
          <w:sz w:val="20"/>
          <w:szCs w:val="20"/>
          <w:color w:val="auto"/>
        </w:rPr>
      </w:pPr>
      <w:r>
        <w:rPr>
          <w:rFonts w:ascii="Times New Roman" w:cs="Times New Roman" w:eastAsia="Times New Roman" w:hAnsi="Times New Roman"/>
          <w:sz w:val="19"/>
          <w:szCs w:val="19"/>
          <w:color w:val="auto"/>
        </w:rPr>
        <w:t>During the fiscal year ended June 30, 2026, we recognized $16.6 million in impairments, restructuring and other charges, which included $5.1 million for employee terminations, $2.1 million in acquisition related costs, $1.2 million for impairment of assets, $0.2</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800"/>
          </w:cols>
          <w:pgMar w:left="540" w:top="846" w:right="540" w:bottom="7" w:gutter="0" w:footer="0" w:header="0"/>
          <w:type w:val="continuous"/>
        </w:sectPr>
      </w:pPr>
    </w:p>
    <w:bookmarkStart w:id="89" w:name="page90"/>
    <w:bookmarkEnd w:id="89"/>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spacing w:after="0" w:line="278" w:lineRule="auto"/>
        <w:rPr>
          <w:sz w:val="20"/>
          <w:szCs w:val="20"/>
          <w:color w:val="auto"/>
        </w:rPr>
      </w:pPr>
      <w:r>
        <w:rPr>
          <w:rFonts w:ascii="Times New Roman" w:cs="Times New Roman" w:eastAsia="Times New Roman" w:hAnsi="Times New Roman"/>
          <w:sz w:val="20"/>
          <w:szCs w:val="20"/>
          <w:color w:val="auto"/>
        </w:rPr>
        <w:t>million for facility closure costs for operational efficiency activities, $1.6 million in legal charges, $2.2 million for non-recurring charges in our Security division, and $4.2 million of non-recurring charges in our Healthcare division.</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During the fiscal year ended June 30, 2025, we recognized $5.3 million in restructuring and other charges, which included $0.7 million for facility closure costs for operational efficiency activities, $2.7 million for employee terminations, $0.6 million in acquisition related costs, and $1.3 million in legal charges.</w:t>
      </w:r>
    </w:p>
    <w:p>
      <w:pPr>
        <w:spacing w:after="0" w:line="1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fiscal year ended June 30, 2024, we recognized $6.4 million in restructuring and other charges, which included $3.2 million for facility closure costs for operational efficiency activities, $1.4 million for employee terminations, $1.0 million in acquisition related costs, and $0.8 million in legal charges.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summarize impairment, restructuring and other charges for the periods set forth below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55"/>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Optoelectronics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4"/>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40" w:type="dxa"/>
            <w:vAlign w:val="bottom"/>
          </w:tcPr>
          <w:p>
            <w:pPr>
              <w:spacing w:after="0"/>
              <w:rPr>
                <w:sz w:val="16"/>
                <w:szCs w:val="16"/>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Healthcare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22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20" w:type="dxa"/>
            <w:vAlign w:val="bottom"/>
            <w:tcBorders>
              <w:bottom w:val="single" w:sz="8" w:color="E6E6E6"/>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Acquisition-related costs</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247</w:t>
            </w:r>
          </w:p>
        </w:tc>
        <w:tc>
          <w:tcPr>
            <w:tcW w:w="34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201</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514</w:t>
            </w:r>
          </w:p>
        </w:tc>
        <w:tc>
          <w:tcPr>
            <w:tcW w:w="460" w:type="dxa"/>
            <w:vAlign w:val="bottom"/>
            <w:gridSpan w:val="3"/>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962</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Employee termination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w:t>
            </w:r>
          </w:p>
        </w:tc>
      </w:tr>
      <w:tr>
        <w:trPr>
          <w:trHeight w:val="229"/>
        </w:trPr>
        <w:tc>
          <w:tcPr>
            <w:tcW w:w="4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Facility closures/consolidation</w:t>
            </w:r>
          </w:p>
        </w:tc>
        <w:tc>
          <w:tcPr>
            <w:tcW w:w="20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3,148</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3,238</w:t>
            </w:r>
          </w:p>
        </w:tc>
      </w:tr>
      <w:tr>
        <w:trPr>
          <w:trHeight w:val="230"/>
        </w:trPr>
        <w:tc>
          <w:tcPr>
            <w:tcW w:w="42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Legal costs, net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w:t>
            </w:r>
          </w:p>
        </w:tc>
      </w:tr>
      <w:tr>
        <w:trPr>
          <w:trHeight w:val="230"/>
        </w:trPr>
        <w:tc>
          <w:tcPr>
            <w:tcW w:w="422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expensed</w:t>
            </w:r>
          </w:p>
        </w:tc>
        <w:tc>
          <w:tcPr>
            <w:tcW w:w="2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675</w:t>
            </w:r>
          </w:p>
        </w:tc>
        <w:tc>
          <w:tcPr>
            <w:tcW w:w="340" w:type="dxa"/>
            <w:vAlign w:val="bottom"/>
            <w:gridSpan w:val="3"/>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3,548</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810</w:t>
            </w:r>
          </w:p>
        </w:tc>
        <w:tc>
          <w:tcPr>
            <w:tcW w:w="380" w:type="dxa"/>
            <w:vAlign w:val="bottom"/>
            <w:gridSpan w:val="3"/>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1,358</w:t>
            </w:r>
          </w:p>
        </w:tc>
        <w:tc>
          <w:tcPr>
            <w:tcW w:w="460" w:type="dxa"/>
            <w:vAlign w:val="bottom"/>
            <w:gridSpan w:val="3"/>
            <w:shd w:val="clear" w:color="auto" w:fill="E6E6E6"/>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6,391</w:t>
            </w:r>
          </w:p>
        </w:tc>
      </w:tr>
      <w:tr>
        <w:trPr>
          <w:trHeight w:val="434"/>
        </w:trPr>
        <w:tc>
          <w:tcPr>
            <w:tcW w:w="4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154"/>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Optoelectronics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5"/>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4"/>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4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Healthcare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22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20" w:type="dxa"/>
            <w:vAlign w:val="bottom"/>
            <w:tcBorders>
              <w:bottom w:val="single" w:sz="8" w:color="E6E6E6"/>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Acquisition-related costs</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378</w:t>
            </w:r>
          </w:p>
        </w:tc>
        <w:tc>
          <w:tcPr>
            <w:tcW w:w="34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228</w:t>
            </w:r>
          </w:p>
        </w:tc>
        <w:tc>
          <w:tcPr>
            <w:tcW w:w="460" w:type="dxa"/>
            <w:vAlign w:val="bottom"/>
            <w:gridSpan w:val="3"/>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606</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Employee termination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w:t>
            </w:r>
          </w:p>
        </w:tc>
      </w:tr>
      <w:tr>
        <w:trPr>
          <w:trHeight w:val="229"/>
        </w:trPr>
        <w:tc>
          <w:tcPr>
            <w:tcW w:w="4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Facility closures/consolidation</w:t>
            </w:r>
          </w:p>
        </w:tc>
        <w:tc>
          <w:tcPr>
            <w:tcW w:w="20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771</w:t>
            </w:r>
          </w:p>
        </w:tc>
      </w:tr>
      <w:tr>
        <w:trPr>
          <w:trHeight w:val="230"/>
        </w:trPr>
        <w:tc>
          <w:tcPr>
            <w:tcW w:w="42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Legal costs, net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1,274</w:t>
            </w:r>
          </w:p>
        </w:tc>
      </w:tr>
      <w:tr>
        <w:trPr>
          <w:trHeight w:val="250"/>
        </w:trPr>
        <w:tc>
          <w:tcPr>
            <w:tcW w:w="422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expensed</w:t>
            </w:r>
          </w:p>
        </w:tc>
        <w:tc>
          <w:tcPr>
            <w:tcW w:w="2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1,882</w:t>
            </w:r>
          </w:p>
        </w:tc>
        <w:tc>
          <w:tcPr>
            <w:tcW w:w="340" w:type="dxa"/>
            <w:vAlign w:val="bottom"/>
            <w:gridSpan w:val="3"/>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619</w:t>
            </w:r>
          </w:p>
        </w:tc>
        <w:tc>
          <w:tcPr>
            <w:tcW w:w="2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2,246</w:t>
            </w:r>
          </w:p>
        </w:tc>
        <w:tc>
          <w:tcPr>
            <w:tcW w:w="380" w:type="dxa"/>
            <w:vAlign w:val="bottom"/>
            <w:gridSpan w:val="3"/>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588</w:t>
            </w:r>
          </w:p>
        </w:tc>
        <w:tc>
          <w:tcPr>
            <w:tcW w:w="460" w:type="dxa"/>
            <w:vAlign w:val="bottom"/>
            <w:gridSpan w:val="3"/>
            <w:shd w:val="clear" w:color="auto" w:fill="E6E6E6"/>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5,335</w:t>
            </w:r>
          </w:p>
        </w:tc>
      </w:tr>
      <w:tr>
        <w:trPr>
          <w:trHeight w:val="414"/>
        </w:trPr>
        <w:tc>
          <w:tcPr>
            <w:tcW w:w="4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Fiscal 2026</w:t>
            </w: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154"/>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Optoelectronics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5"/>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4"/>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4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7"/>
              </w:rPr>
              <w:t>Healthcare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22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20" w:type="dxa"/>
            <w:vAlign w:val="bottom"/>
            <w:tcBorders>
              <w:bottom w:val="single" w:sz="8" w:color="E6E6E6"/>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Acquisition-related costs</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33</w:t>
            </w:r>
          </w:p>
        </w:tc>
        <w:tc>
          <w:tcPr>
            <w:tcW w:w="34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2,046</w:t>
            </w:r>
          </w:p>
        </w:tc>
        <w:tc>
          <w:tcPr>
            <w:tcW w:w="460" w:type="dxa"/>
            <w:vAlign w:val="bottom"/>
            <w:gridSpan w:val="3"/>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2,079</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Employee termination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5,184</w:t>
            </w:r>
          </w:p>
        </w:tc>
      </w:tr>
      <w:tr>
        <w:trPr>
          <w:trHeight w:val="230"/>
        </w:trPr>
        <w:tc>
          <w:tcPr>
            <w:tcW w:w="4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Facility closure/consolidation</w:t>
            </w:r>
          </w:p>
        </w:tc>
        <w:tc>
          <w:tcPr>
            <w:tcW w:w="200" w:type="dxa"/>
            <w:vAlign w:val="bottom"/>
            <w:shd w:val="clear" w:color="auto" w:fill="E6E6E6"/>
          </w:tcPr>
          <w:p>
            <w:pPr>
              <w:spacing w:after="0"/>
              <w:rPr>
                <w:sz w:val="20"/>
                <w:szCs w:val="20"/>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assets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w:t>
            </w:r>
          </w:p>
        </w:tc>
      </w:tr>
      <w:tr>
        <w:trPr>
          <w:trHeight w:val="230"/>
        </w:trPr>
        <w:tc>
          <w:tcPr>
            <w:tcW w:w="42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Legal and other expense (benefit), net</w:t>
            </w:r>
          </w:p>
        </w:tc>
        <w:tc>
          <w:tcPr>
            <w:tcW w:w="20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2,674</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5,422</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7,941</w:t>
            </w:r>
          </w:p>
        </w:tc>
      </w:tr>
      <w:tr>
        <w:trPr>
          <w:trHeight w:val="230"/>
        </w:trPr>
        <w:tc>
          <w:tcPr>
            <w:tcW w:w="422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 expensed</w:t>
            </w: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7,006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446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6,944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2,195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-3936365</wp:posOffset>
            </wp:positionV>
            <wp:extent cx="66484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7">
                      <a:extLst>
                        <a:ext uri="{28A0092B-C50C-407E-A947-70E740481C1C}"/>
                      </a:extLst>
                    </a:blip>
                    <a:srcRect/>
                    <a:stretch>
                      <a:fillRect/>
                    </a:stretch>
                  </pic:blipFill>
                  <pic:spPr bwMode="auto">
                    <a:xfrm>
                      <a:off x="0" y="0"/>
                      <a:ext cx="664845" cy="17145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-3643630</wp:posOffset>
            </wp:positionV>
            <wp:extent cx="664845" cy="170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8">
                      <a:extLst>
                        <a:ext uri="{28A0092B-C50C-407E-A947-70E740481C1C}"/>
                      </a:extLst>
                    </a:blip>
                    <a:srcRect/>
                    <a:stretch>
                      <a:fillRect/>
                    </a:stretch>
                  </pic:blipFill>
                  <pic:spPr bwMode="auto">
                    <a:xfrm>
                      <a:off x="0" y="0"/>
                      <a:ext cx="664845" cy="17081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-3345815</wp:posOffset>
            </wp:positionV>
            <wp:extent cx="66484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9">
                      <a:extLst>
                        <a:ext uri="{28A0092B-C50C-407E-A947-70E740481C1C}"/>
                      </a:extLst>
                    </a:blip>
                    <a:srcRect/>
                    <a:stretch>
                      <a:fillRect/>
                    </a:stretch>
                  </pic:blipFill>
                  <pic:spPr bwMode="auto">
                    <a:xfrm>
                      <a:off x="0" y="0"/>
                      <a:ext cx="664845" cy="17145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-2424430</wp:posOffset>
            </wp:positionV>
            <wp:extent cx="664845" cy="170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0">
                      <a:extLst>
                        <a:ext uri="{28A0092B-C50C-407E-A947-70E740481C1C}"/>
                      </a:extLst>
                    </a:blip>
                    <a:srcRect/>
                    <a:stretch>
                      <a:fillRect/>
                    </a:stretch>
                  </pic:blipFill>
                  <pic:spPr bwMode="auto">
                    <a:xfrm>
                      <a:off x="0" y="0"/>
                      <a:ext cx="664845" cy="17081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-2132965</wp:posOffset>
            </wp:positionV>
            <wp:extent cx="664845" cy="170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a:extLst>
                        <a:ext uri="{28A0092B-C50C-407E-A947-70E740481C1C}"/>
                      </a:extLst>
                    </a:blip>
                    <a:srcRect/>
                    <a:stretch>
                      <a:fillRect/>
                    </a:stretch>
                  </pic:blipFill>
                  <pic:spPr bwMode="auto">
                    <a:xfrm>
                      <a:off x="0" y="0"/>
                      <a:ext cx="664845" cy="17081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-1834515</wp:posOffset>
            </wp:positionV>
            <wp:extent cx="66484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2">
                      <a:extLst>
                        <a:ext uri="{28A0092B-C50C-407E-A947-70E740481C1C}"/>
                      </a:extLst>
                    </a:blip>
                    <a:srcRect/>
                    <a:stretch>
                      <a:fillRect/>
                    </a:stretch>
                  </pic:blipFill>
                  <pic:spPr bwMode="auto">
                    <a:xfrm>
                      <a:off x="0" y="0"/>
                      <a:ext cx="664845" cy="17145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-913765</wp:posOffset>
            </wp:positionV>
            <wp:extent cx="664845" cy="170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extLst>
                    </a:blip>
                    <a:srcRect/>
                    <a:stretch>
                      <a:fillRect/>
                    </a:stretch>
                  </pic:blipFill>
                  <pic:spPr bwMode="auto">
                    <a:xfrm>
                      <a:off x="0" y="0"/>
                      <a:ext cx="664845" cy="17081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-621665</wp:posOffset>
            </wp:positionV>
            <wp:extent cx="66484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4">
                      <a:extLst>
                        <a:ext uri="{28A0092B-C50C-407E-A947-70E740481C1C}"/>
                      </a:extLst>
                    </a:blip>
                    <a:srcRect/>
                    <a:stretch>
                      <a:fillRect/>
                    </a:stretch>
                  </pic:blipFill>
                  <pic:spPr bwMode="auto">
                    <a:xfrm>
                      <a:off x="0" y="0"/>
                      <a:ext cx="664845" cy="17145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-329565</wp:posOffset>
            </wp:positionV>
            <wp:extent cx="66484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extLst>
                    </a:blip>
                    <a:srcRect/>
                    <a:stretch>
                      <a:fillRect/>
                    </a:stretch>
                  </pic:blipFill>
                  <pic:spPr bwMode="auto">
                    <a:xfrm>
                      <a:off x="0" y="0"/>
                      <a:ext cx="664845" cy="171450"/>
                    </a:xfrm>
                    <a:prstGeom prst="rect">
                      <a:avLst/>
                    </a:prstGeom>
                    <a:noFill/>
                  </pic:spPr>
                </pic:pic>
              </a:graphicData>
            </a:graphic>
          </wp:anchor>
        </w:drawing>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800"/>
          </w:cols>
          <w:pgMar w:left="540" w:top="846" w:right="540" w:bottom="7" w:gutter="0" w:footer="0" w:header="0"/>
          <w:type w:val="continuous"/>
        </w:sectPr>
      </w:pPr>
    </w:p>
    <w:bookmarkStart w:id="90" w:name="page91"/>
    <w:bookmarkEnd w:id="90"/>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accrued liability for restructuring and other charges is included in other accrued expenses and current liabilities in the consolidated balance sheet. The changes in the accrued liability for restructuring and other charges for fiscal 2025 and 2026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4"/>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0" w:type="dxa"/>
            <w:vAlign w:val="bottom"/>
          </w:tcPr>
          <w:p>
            <w:pPr>
              <w:spacing w:after="0"/>
              <w:rPr>
                <w:sz w:val="15"/>
                <w:szCs w:val="15"/>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Closure /</w:t>
            </w:r>
          </w:p>
        </w:tc>
        <w:tc>
          <w:tcPr>
            <w:tcW w:w="160" w:type="dxa"/>
            <w:vAlign w:val="bottom"/>
          </w:tcPr>
          <w:p>
            <w:pPr>
              <w:spacing w:after="0"/>
              <w:rPr>
                <w:sz w:val="15"/>
                <w:szCs w:val="15"/>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Legal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12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3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Consolidation</w:t>
            </w:r>
          </w:p>
        </w:tc>
        <w:tc>
          <w:tcPr>
            <w:tcW w:w="160" w:type="dxa"/>
            <w:vAlign w:val="bottom"/>
          </w:tcPr>
          <w:p>
            <w:pPr>
              <w:spacing w:after="0"/>
              <w:rPr>
                <w:sz w:val="15"/>
                <w:szCs w:val="15"/>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Costs</w:t>
            </w:r>
          </w:p>
        </w:tc>
        <w:tc>
          <w:tcPr>
            <w:tcW w:w="12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8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7"/>
                <w:szCs w:val="17"/>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4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4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2024</w:t>
            </w: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496</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right w:val="single" w:sz="8" w:color="E6E6E6"/>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294</w:t>
            </w:r>
          </w:p>
        </w:tc>
        <w:tc>
          <w:tcPr>
            <w:tcW w:w="1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227</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808</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40" w:type="dxa"/>
            <w:vAlign w:val="bottom"/>
            <w:tcBorders>
              <w:top w:val="single" w:sz="8" w:color="auto"/>
            </w:tcBorders>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1,825</w:t>
            </w:r>
          </w:p>
        </w:tc>
      </w:tr>
      <w:tr>
        <w:trPr>
          <w:trHeight w:val="230"/>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Restructuring and other charges, net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5,335</w:t>
            </w:r>
          </w:p>
        </w:tc>
      </w:tr>
      <w:tr>
        <w:trPr>
          <w:trHeight w:val="230"/>
        </w:trPr>
        <w:tc>
          <w:tcPr>
            <w:tcW w:w="42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Payments, adjustments and reimbursements, net</w:t>
            </w:r>
          </w:p>
        </w:tc>
        <w:tc>
          <w:tcPr>
            <w:tcW w:w="120" w:type="dxa"/>
            <w:vAlign w:val="bottom"/>
            <w:shd w:val="clear" w:color="auto" w:fill="E6E6E6"/>
          </w:tcPr>
          <w:p>
            <w:pPr>
              <w:spacing w:after="0"/>
              <w:rPr>
                <w:sz w:val="20"/>
                <w:szCs w:val="20"/>
                <w:color w:val="auto"/>
              </w:rPr>
            </w:pPr>
          </w:p>
        </w:tc>
        <w:tc>
          <w:tcPr>
            <w:tcW w:w="122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(1,102)</w:t>
            </w: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020" w:type="dxa"/>
            <w:vAlign w:val="bottom"/>
            <w:tcBorders>
              <w:right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(2,533)</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1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(375)</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8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(365)</w:t>
            </w:r>
          </w:p>
        </w:tc>
        <w:tc>
          <w:tcPr>
            <w:tcW w:w="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(4,375)</w:t>
            </w:r>
          </w:p>
        </w:tc>
      </w:tr>
      <w:tr>
        <w:trPr>
          <w:trHeight w:val="220"/>
        </w:trPr>
        <w:tc>
          <w:tcPr>
            <w:tcW w:w="42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2,785</w:t>
            </w:r>
          </w:p>
        </w:tc>
      </w:tr>
      <w:tr>
        <w:trPr>
          <w:trHeight w:val="229"/>
        </w:trPr>
        <w:tc>
          <w:tcPr>
            <w:tcW w:w="42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Restructuring and other charges, net</w:t>
            </w:r>
          </w:p>
        </w:tc>
        <w:tc>
          <w:tcPr>
            <w:tcW w:w="120" w:type="dxa"/>
            <w:vAlign w:val="bottom"/>
            <w:shd w:val="clear" w:color="auto" w:fill="E6E6E6"/>
          </w:tcPr>
          <w:p>
            <w:pPr>
              <w:spacing w:after="0"/>
              <w:rPr>
                <w:sz w:val="19"/>
                <w:szCs w:val="19"/>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2,079</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20" w:type="dxa"/>
            <w:vAlign w:val="bottom"/>
            <w:tcBorders>
              <w:right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5,184</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7,941</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15,437</w:t>
            </w:r>
          </w:p>
        </w:tc>
      </w:tr>
      <w:tr>
        <w:trPr>
          <w:trHeight w:val="230"/>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Payments and adjustments, net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(7,921)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(14,805)</w:t>
            </w:r>
          </w:p>
        </w:tc>
      </w:tr>
      <w:tr>
        <w:trPr>
          <w:trHeight w:val="230"/>
        </w:trPr>
        <w:tc>
          <w:tcPr>
            <w:tcW w:w="422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2026</w:t>
            </w: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E6E6E6"/>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1,680</w:t>
            </w:r>
          </w:p>
        </w:tc>
        <w:tc>
          <w:tcPr>
            <w:tcW w:w="18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6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1,737</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240" w:type="dxa"/>
            <w:vAlign w:val="bottom"/>
            <w:tcBorders>
              <w:top w:val="single" w:sz="8" w:color="auto"/>
              <w:bottom w:val="single" w:sz="8" w:color="auto"/>
            </w:tcBorders>
            <w:shd w:val="clear" w:color="auto" w:fill="E6E6E6"/>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3,417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-1066165</wp:posOffset>
            </wp:positionV>
            <wp:extent cx="665480" cy="170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6">
                      <a:extLst>
                        <a:ext uri="{28A0092B-C50C-407E-A947-70E740481C1C}"/>
                      </a:extLst>
                    </a:blip>
                    <a:srcRect/>
                    <a:stretch>
                      <a:fillRect/>
                    </a:stretch>
                  </pic:blipFill>
                  <pic:spPr bwMode="auto">
                    <a:xfrm>
                      <a:off x="0" y="0"/>
                      <a:ext cx="665480" cy="17081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-774065</wp:posOffset>
            </wp:positionV>
            <wp:extent cx="6654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7">
                      <a:extLst>
                        <a:ext uri="{28A0092B-C50C-407E-A947-70E740481C1C}"/>
                      </a:extLst>
                    </a:blip>
                    <a:srcRect/>
                    <a:stretch>
                      <a:fillRect/>
                    </a:stretch>
                  </pic:blipFill>
                  <pic:spPr bwMode="auto">
                    <a:xfrm>
                      <a:off x="0" y="0"/>
                      <a:ext cx="665480" cy="17145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-475615</wp:posOffset>
            </wp:positionV>
            <wp:extent cx="665480" cy="170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a:extLst>
                        <a:ext uri="{28A0092B-C50C-407E-A947-70E740481C1C}"/>
                      </a:extLst>
                    </a:blip>
                    <a:srcRect/>
                    <a:stretch>
                      <a:fillRect/>
                    </a:stretch>
                  </pic:blipFill>
                  <pic:spPr bwMode="auto">
                    <a:xfrm>
                      <a:off x="0" y="0"/>
                      <a:ext cx="665480" cy="17081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-177165</wp:posOffset>
            </wp:positionV>
            <wp:extent cx="6654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9">
                      <a:extLst>
                        <a:ext uri="{28A0092B-C50C-407E-A947-70E740481C1C}"/>
                      </a:extLst>
                    </a:blip>
                    <a:srcRect/>
                    <a:stretch>
                      <a:fillRect/>
                    </a:stretch>
                  </pic:blipFill>
                  <pic:spPr bwMode="auto">
                    <a:xfrm>
                      <a:off x="0" y="0"/>
                      <a:ext cx="665480" cy="171450"/>
                    </a:xfrm>
                    <a:prstGeom prst="rect">
                      <a:avLst/>
                    </a:prstGeom>
                    <a:noFill/>
                  </pic:spPr>
                </pic:pic>
              </a:graphicData>
            </a:graphic>
          </wp:anchor>
        </w:drawing>
      </w:r>
    </w:p>
    <w:p>
      <w:pPr>
        <w:spacing w:after="0" w:line="210" w:lineRule="exact"/>
        <w:rPr>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BORROWINGS</w:t>
      </w:r>
    </w:p>
    <w:p>
      <w:pPr>
        <w:spacing w:after="0" w:line="243"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Long-term debt consisted of the following (in thousands):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auto"/>
            </w:tcBorders>
            <w:gridSpan w:val="5"/>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173"/>
        </w:trPr>
        <w:tc>
          <w:tcPr>
            <w:tcW w:w="65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880" w:type="dxa"/>
            <w:vAlign w:val="bottom"/>
            <w:tcBorders>
              <w:bottom w:val="single" w:sz="8" w:color="auto"/>
            </w:tcBorders>
          </w:tcPr>
          <w:p>
            <w:pPr>
              <w:jc w:val="right"/>
              <w:ind w:right="188"/>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2"/>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65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Term loan</w:t>
            </w:r>
          </w:p>
        </w:tc>
        <w:tc>
          <w:tcPr>
            <w:tcW w:w="9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$ 128,125</w:t>
            </w:r>
          </w:p>
        </w:tc>
        <w:tc>
          <w:tcPr>
            <w:tcW w:w="32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92,500</w:t>
            </w: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2029 Notes,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342,231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344,052</w:t>
            </w:r>
          </w:p>
        </w:tc>
      </w:tr>
      <w:tr>
        <w:trPr>
          <w:trHeight w:val="230"/>
        </w:trPr>
        <w:tc>
          <w:tcPr>
            <w:tcW w:w="65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2031 Notes, net</w:t>
            </w:r>
          </w:p>
        </w:tc>
        <w:tc>
          <w:tcPr>
            <w:tcW w:w="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564,372</w:t>
            </w:r>
          </w:p>
        </w:tc>
      </w:tr>
      <w:tr>
        <w:trPr>
          <w:trHeight w:val="229"/>
        </w:trPr>
        <w:tc>
          <w:tcPr>
            <w:tcW w:w="65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Other long-term debt</w:t>
            </w:r>
          </w:p>
        </w:tc>
        <w:tc>
          <w:tcPr>
            <w:tcW w:w="2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1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0"/>
        </w:trPr>
        <w:tc>
          <w:tcPr>
            <w:tcW w:w="6540" w:type="dxa"/>
            <w:vAlign w:val="bottom"/>
            <w:shd w:val="clear" w:color="auto" w:fill="E6E6E6"/>
          </w:tcPr>
          <w:p>
            <w:pPr>
              <w:spacing w:after="0"/>
              <w:rPr>
                <w:sz w:val="19"/>
                <w:szCs w:val="19"/>
                <w:color w:val="auto"/>
              </w:rPr>
            </w:pPr>
          </w:p>
        </w:tc>
        <w:tc>
          <w:tcPr>
            <w:tcW w:w="9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471,634</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E6E6E6"/>
              </w:rPr>
              <w:t>1,001,049</w:t>
            </w:r>
          </w:p>
        </w:tc>
      </w:tr>
      <w:tr>
        <w:trPr>
          <w:trHeight w:val="230"/>
        </w:trPr>
        <w:tc>
          <w:tcPr>
            <w:tcW w:w="65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2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(8,130)</w:t>
            </w:r>
          </w:p>
        </w:tc>
        <w:tc>
          <w:tcPr>
            <w:tcW w:w="1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230"/>
        </w:trPr>
        <w:tc>
          <w:tcPr>
            <w:tcW w:w="65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Long-term portion of debt</w:t>
            </w:r>
          </w:p>
        </w:tc>
        <w:tc>
          <w:tcPr>
            <w:tcW w:w="900" w:type="dxa"/>
            <w:vAlign w:val="bottom"/>
            <w:tcBorders>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$ 463,504</w:t>
            </w:r>
          </w:p>
        </w:tc>
        <w:tc>
          <w:tcPr>
            <w:tcW w:w="16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88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E6E6E6"/>
              </w:rPr>
              <w:t>998,518</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Fiscal year principal payments of long-term debt as of June 30, 2026 are as follows (in thousands):</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shd w:val="clear" w:color="auto" w:fill="E6E6E6"/>
          </w:tcPr>
          <w:p>
            <w:pPr>
              <w:spacing w:after="0"/>
              <w:rPr>
                <w:sz w:val="19"/>
                <w:szCs w:val="19"/>
                <w:color w:val="auto"/>
              </w:rPr>
            </w:pPr>
          </w:p>
        </w:tc>
        <w:tc>
          <w:tcPr>
            <w:tcW w:w="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5,041</w:t>
            </w:r>
          </w:p>
        </w:tc>
      </w:tr>
      <w:tr>
        <w:trPr>
          <w:trHeight w:val="230"/>
        </w:trPr>
        <w:tc>
          <w:tcPr>
            <w:tcW w:w="7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5,041</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355,012</w:t>
            </w:r>
          </w:p>
        </w:tc>
      </w:tr>
      <w:tr>
        <w:trPr>
          <w:trHeight w:val="230"/>
        </w:trPr>
        <w:tc>
          <w:tcPr>
            <w:tcW w:w="7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2031</w:t>
            </w:r>
          </w:p>
        </w:tc>
        <w:tc>
          <w:tcPr>
            <w:tcW w:w="2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650,000</w:t>
            </w:r>
          </w:p>
        </w:tc>
      </w:tr>
      <w:tr>
        <w:trPr>
          <w:trHeight w:val="230"/>
        </w:trPr>
        <w:tc>
          <w:tcPr>
            <w:tcW w:w="72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2032 and thereafter</w:t>
            </w:r>
          </w:p>
        </w:tc>
        <w:tc>
          <w:tcPr>
            <w:tcW w:w="22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720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1,017,625</w:t>
            </w:r>
          </w:p>
        </w:tc>
      </w:tr>
      <w:tr>
        <w:trPr>
          <w:trHeight w:val="229"/>
        </w:trPr>
        <w:tc>
          <w:tcPr>
            <w:tcW w:w="72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unamortized debt discount and issuance costs</w:t>
            </w:r>
          </w:p>
        </w:tc>
        <w:tc>
          <w:tcPr>
            <w:tcW w:w="22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(16,576)</w:t>
            </w:r>
          </w:p>
        </w:tc>
      </w:tr>
      <w:tr>
        <w:trPr>
          <w:trHeight w:val="230"/>
        </w:trPr>
        <w:tc>
          <w:tcPr>
            <w:tcW w:w="720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1,001,049</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39"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In July 2025 we amended and extended our credit facility, now maturing in July 2030, to increase the revolving limit from $600 million to $725 million and replaced the $128.1 million term loan with a $100.0 million term loan which were accounted for as a debt modification. The sub-limit for letters of credit was increased from $ 300 million to $350 million, which includes up to $300 million for borrowings in certain foreign currencies. Under certain circumstances and subject to certain conditions, we have the ability to increase the revolving credit facility by an amount equal to the greater of $300 million or such amount as would not cause our secured leverage ratio to exceed a specified level. Other enhancements include the permitted securitization of certain qualifying assets of up to $100 million.</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800"/>
          </w:cols>
          <w:pgMar w:left="540" w:top="846" w:right="540" w:bottom="7" w:gutter="0" w:footer="0" w:header="0"/>
          <w:type w:val="continuous"/>
        </w:sectPr>
      </w:pPr>
    </w:p>
    <w:bookmarkStart w:id="91" w:name="page92"/>
    <w:bookmarkEnd w:id="91"/>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1"/>
        <w:spacing w:after="0" w:line="242" w:lineRule="auto"/>
        <w:rPr>
          <w:sz w:val="20"/>
          <w:szCs w:val="20"/>
          <w:color w:val="auto"/>
        </w:rPr>
      </w:pPr>
      <w:r>
        <w:rPr>
          <w:rFonts w:ascii="Times New Roman" w:cs="Times New Roman" w:eastAsia="Times New Roman" w:hAnsi="Times New Roman"/>
          <w:sz w:val="20"/>
          <w:szCs w:val="20"/>
          <w:color w:val="auto"/>
        </w:rPr>
        <w:t>Borrowings under the facility bore interest at SOFR plus a margin of 1.25% as of June 30, 2026 (which margin can range from 1.0% to 1.75% based on our consolidated net leverage ratio as defined in the credit facility). Letters of credit reduce the amount available to borrow under the credit facility by their face value amount. The unused portion of the facility bore a commitment fee of 0.15% as of June 30, 2026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June 30, 2026, there were no borrowings outstanding under the revolving credit facility, $95.8 million outstanding under the letters of credit sub-facility, and $92.5 million outstanding under the term loan. As of June 30, 2026, the amount available to borrow under the credit facility was $629.2 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June 30, 2026, we were in compliance with all financial covenants under this credit facility. In September 2022, we entered into an interest rate swap agreement in order to mitigate the interest rate risk on a portion of the interest payments expected to be made on the borrowings outstanding under the revolving credit facility and term loan. Refer to Note 1 for further information relating to the interest rate swap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2.25% Convertible Senior Notes Due 2029 (“2029 Notes”)</w:t>
      </w:r>
    </w:p>
    <w:p>
      <w:pPr>
        <w:spacing w:after="0" w:line="240"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In July 2024, we issued an aggregate of $350.0 million principal amount of 2.25% convertible senior notes due in August 2029 in a private offering to qualified institutional buyers pursuant to Rule 144A under the Securities Act of 1933, as amended, at an issuance price equal to 97.5% of the principal amount. The 2029 Notes were issued pursuant to and are governed by an indenture dated July 19, 2024. The proceeds from the issuance of the 2029 Notes were $340.4 million, net of the issuance discount and debt issuance costs.</w:t>
      </w:r>
    </w:p>
    <w:p>
      <w:pPr>
        <w:spacing w:after="0" w:line="176"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The 2029 Notes are unsecured obligations which bear regular interest at 2.25% per annum payable semiannually in arrears on February 1 and August 1 of each year, beginning on February 1, 2025. The 2029 Notes will mature on August 1, 2029, unless repurchased, redeemed, or converted in accordance with their terms prior to such date. The 2029 Notes are convertible into a combination of cash and shares of our common stock, at an initial conversion rate of 5.2090 shares of common stock per $1,000 principal amount of 2029 Notes, which is equivalent to an initial conversion price of approximately $191.98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2029 Notes, at our option, on or after August 6, 2027 if the last reported sale price of our common stock has been at least 130% of the conversion price then in effect for at least 20 trading days at a redemption price equal to 100% of the principal amount of the 2029 Notes to be redeemed, plus accrued and unpaid interest up to the day before the redemption date. The holders may require us to repurchase the 2029 Notes upon the occurrence of certain fundamental change transactions at a redemption price equal to 100% of the principal amount of the 2029 Notes redeemed, plus accrued and unpaid interest up to the day before the redemption date.</w:t>
      </w:r>
    </w:p>
    <w:p>
      <w:pPr>
        <w:spacing w:after="0" w:line="20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Holders of the 2029 Notes may convert all or a portion of their 2029 Notes at their option prior to May 1, 2029, in multiples of $1,000 principal amounts, only under the following circumstances (i) during any calendar quarter commencing after the quarter ended on September 30, 2025 (and only during such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2029 Notes for redemption, at any time prior to the close of business on the scheduled trading day immediately preceding the redemption date, but only with respect to the notes called for redemption.</w:t>
      </w:r>
    </w:p>
    <w:p>
      <w:pPr>
        <w:spacing w:after="0" w:line="188" w:lineRule="exact"/>
        <w:rPr>
          <w:sz w:val="20"/>
          <w:szCs w:val="20"/>
          <w:color w:val="auto"/>
        </w:rPr>
      </w:pPr>
    </w:p>
    <w:p>
      <w:pPr>
        <w:jc w:val="both"/>
        <w:ind w:firstLine="721"/>
        <w:spacing w:after="0" w:line="252" w:lineRule="auto"/>
        <w:rPr>
          <w:sz w:val="20"/>
          <w:szCs w:val="20"/>
          <w:color w:val="auto"/>
        </w:rPr>
      </w:pPr>
      <w:r>
        <w:rPr>
          <w:rFonts w:ascii="Times New Roman" w:cs="Times New Roman" w:eastAsia="Times New Roman" w:hAnsi="Times New Roman"/>
          <w:sz w:val="20"/>
          <w:szCs w:val="20"/>
          <w:color w:val="auto"/>
        </w:rPr>
        <w:t>On or after May 1, 2029, the 2029 Notes are convertible at any time until the close of business on the second scheduled trading day immediately preceding the maturity date. Holders of the 2029 Notes who convert the 2029 Notes in connection with a make-whole fundamental change, as defined in the indenture governing the 2029 Notes, or in connection with a redemption may be entitled to an increase in the conversion rate.</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800"/>
          </w:cols>
          <w:pgMar w:left="540" w:top="846" w:right="540" w:bottom="7" w:gutter="0" w:footer="0" w:header="0"/>
          <w:type w:val="continuous"/>
        </w:sectPr>
      </w:pPr>
    </w:p>
    <w:bookmarkStart w:id="92" w:name="page93"/>
    <w:bookmarkEnd w:id="92"/>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accounted for the issuance of the 2029 Notes as a single liability measured at its amortized cost, as no other embedded features require bifurcation and recognition as derivatives. The following table is a summary of the 2029 Notes as of June 30, 2026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3"/>
        </w:trPr>
        <w:tc>
          <w:tcPr>
            <w:tcW w:w="75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758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Principal amount</w:t>
            </w: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ind w:left="200"/>
              <w:spacing w:after="0" w:line="220" w:lineRule="exact"/>
              <w:rPr>
                <w:sz w:val="20"/>
                <w:szCs w:val="20"/>
                <w:color w:val="auto"/>
              </w:rPr>
            </w:pPr>
            <w:r>
              <w:rPr>
                <w:rFonts w:ascii="Times New Roman" w:cs="Times New Roman" w:eastAsia="Times New Roman" w:hAnsi="Times New Roman"/>
                <w:sz w:val="20"/>
                <w:szCs w:val="20"/>
                <w:color w:val="auto"/>
              </w:rPr>
              <w:t>350,000</w:t>
            </w:r>
          </w:p>
        </w:tc>
      </w:tr>
      <w:tr>
        <w:trPr>
          <w:trHeight w:val="230"/>
        </w:trPr>
        <w:tc>
          <w:tcPr>
            <w:tcW w:w="758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Unamortized debt discount and issuance costs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w w:val="95"/>
              </w:rPr>
              <w:t>(5,948)</w:t>
            </w:r>
          </w:p>
        </w:tc>
      </w:tr>
      <w:tr>
        <w:trPr>
          <w:trHeight w:val="229"/>
        </w:trPr>
        <w:tc>
          <w:tcPr>
            <w:tcW w:w="7580" w:type="dxa"/>
            <w:vAlign w:val="bottom"/>
            <w:gridSpan w:val="2"/>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Net carrying amount</w:t>
            </w:r>
          </w:p>
        </w:tc>
        <w:tc>
          <w:tcPr>
            <w:tcW w:w="1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ind w:left="200"/>
              <w:spacing w:after="0" w:line="220" w:lineRule="exact"/>
              <w:rPr>
                <w:sz w:val="20"/>
                <w:szCs w:val="20"/>
                <w:color w:val="auto"/>
              </w:rPr>
            </w:pPr>
            <w:r>
              <w:rPr>
                <w:rFonts w:ascii="Times New Roman" w:cs="Times New Roman" w:eastAsia="Times New Roman" w:hAnsi="Times New Roman"/>
                <w:sz w:val="20"/>
                <w:szCs w:val="20"/>
                <w:color w:val="auto"/>
              </w:rPr>
              <w:t>344,052</w:t>
            </w:r>
          </w:p>
        </w:tc>
      </w:tr>
      <w:tr>
        <w:trPr>
          <w:trHeight w:val="230"/>
        </w:trPr>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0"/>
        </w:trPr>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Fair value (Level 2)</w:t>
            </w:r>
          </w:p>
        </w:tc>
        <w:tc>
          <w:tcPr>
            <w:tcW w:w="20" w:type="dxa"/>
            <w:vAlign w:val="bottom"/>
            <w:tcBorders>
              <w:bottom w:val="single" w:sz="8" w:color="auto"/>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467,505</w:t>
            </w:r>
          </w:p>
        </w:tc>
      </w:tr>
    </w:tbl>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2029 Notes were not eligible for conversion as of June 30, 2026. No sinking fund is provided for the 2029 Notes, which means that we are not required to redeem or retire them periodically. As of June 30, 2026 we were in compliance with applicable financial covenants under the indenture governing the 2029 Notes.</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For the fiscal year ended June 30, 2026, total interest expense for the 2029 Notes was $9.7 million, which consisted of $7.9 million of contractual interest expense and $1.8 million of amortization of debt discount and issuance costs. The unamortized debt issuance cost is amortized on the effective interest method over the life of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0.50% Convertible Senior Notes Due 2031</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November 2025, we issued an aggregate of $575.0 million principal amount of 0.50% convertible senior notes due in February 2031 in a private offering to qualified institutional buyers pursuant to Rule 144A under the Securities Act at an issuance price equal to 98% of the principal amount. The 2031 Notes were issued pursuant to and are governed by an indenture dated November 20, 2025. The proceeds from the issuance of the 2031 Notes were approximately $563.0 million, net of the issuance discount and debt issuance costs.</w:t>
      </w:r>
    </w:p>
    <w:p>
      <w:pPr>
        <w:spacing w:after="0" w:line="19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The 2031 Notes are unsecured obligations which bear regular interest at 0.50% per annum payable semiannually in arrears on February 1 and August 1 of each year, beginning on August 1, 2026. The 2031 Notes will mature on February 1, 2031, unless repurchased, redeemed, or converted in accordance with their terms prior to such date.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2031 Notes, at our option, on or after February 6, 2029 if the last reported sale price of our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of the 2031 Notes may require us to repurchase the 2031 Notes upon the occurrence of certain fundamental change transactions at a redemption price equal to 100% of the principal amount of the 2031 Notes redeemed, plus accrued and unpaid interest up to the day before the redemption date.</w:t>
      </w:r>
    </w:p>
    <w:p>
      <w:pPr>
        <w:spacing w:after="0" w:line="19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Holders of the 2031 Notes may, at their option, convert all or a portion of their 2031 Notes prior to November 1, 2030,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2031 Notes for redemption, at any time prior to the close of business on the scheduled trading day immediately preceding the redemption date, but only with respect to the 2031 Notes called for redemption.</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800"/>
          </w:cols>
          <w:pgMar w:left="540" w:top="846" w:right="540" w:bottom="7" w:gutter="0" w:footer="0" w:header="0"/>
          <w:type w:val="continuous"/>
        </w:sectPr>
      </w:pPr>
    </w:p>
    <w:bookmarkStart w:id="93" w:name="page94"/>
    <w:bookmarkEnd w:id="93"/>
    <w:p>
      <w:pPr>
        <w:jc w:val="center"/>
        <w:ind w:left="540" w:right="2140"/>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or after November 1, 2030, the 2031 Notes will be convertible by the holders thereof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spacing w:after="0" w:line="19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accounted for the issuance of the 2031 Notes as a single liability measured at its amortized cost, as no other embedded features require bifurcation and recognition as derivatives. The following table is a summary of the 2031 Notes as of June 30, 2026 (in thousands):</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4"/>
        </w:trPr>
        <w:tc>
          <w:tcPr>
            <w:tcW w:w="75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758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Principal amount</w:t>
            </w: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575,000</w:t>
            </w:r>
          </w:p>
        </w:tc>
      </w:tr>
      <w:tr>
        <w:trPr>
          <w:trHeight w:val="229"/>
        </w:trPr>
        <w:tc>
          <w:tcPr>
            <w:tcW w:w="758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Unamortized debt discount and issuance costs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(10,628)</w:t>
            </w:r>
          </w:p>
        </w:tc>
      </w:tr>
      <w:tr>
        <w:trPr>
          <w:trHeight w:val="229"/>
        </w:trPr>
        <w:tc>
          <w:tcPr>
            <w:tcW w:w="758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carrying amount</w:t>
            </w:r>
          </w:p>
        </w:tc>
        <w:tc>
          <w:tcPr>
            <w:tcW w:w="1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564,372</w:t>
            </w:r>
          </w:p>
        </w:tc>
      </w:tr>
      <w:tr>
        <w:trPr>
          <w:trHeight w:val="232"/>
        </w:trPr>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0"/>
        </w:trPr>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Fair value (Level 2)</w:t>
            </w:r>
          </w:p>
        </w:tc>
        <w:tc>
          <w:tcPr>
            <w:tcW w:w="20" w:type="dxa"/>
            <w:vAlign w:val="bottom"/>
            <w:tcBorders>
              <w:bottom w:val="single" w:sz="8" w:color="auto"/>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537,913</w:t>
            </w:r>
          </w:p>
        </w:tc>
      </w:tr>
    </w:tbl>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2031 Notes were not eligible for conversion as of June 30, 2026. No sinking fund is provided for the 2031 Notes, which means that we are not required to redeem or retire them periodically. As of June 30, 2026 we were in compliance with applicable financial covenants under the indenture governing the 2031 Notes.</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For the fiscal year ended June 30, 2026, total interest expense for the 2031 Notes was $3.2 million, which consisted of $1.8 million of contractual interest expense and $1.4 million of amortization of debt discount and issuance costs. The unamortized debt issuance cost is amortized on the effective interest method over the life of the 2031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Borrowings</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Several of our foreign subsidiaries maintain bank lines-of-credit, denominated in local currencies and U.S. dollars, primarily for the issuance of letters-of-credit. As of June 30, 2026, $63.0 million was outstanding under these letter-of-credit facilities. As of June 30, 2026, the total amount available under these credit facilities was $57.2 million.</w:t>
      </w:r>
    </w:p>
    <w:p>
      <w:pPr>
        <w:spacing w:after="0" w:line="175" w:lineRule="exact"/>
        <w:rPr>
          <w:sz w:val="20"/>
          <w:szCs w:val="20"/>
          <w:color w:val="auto"/>
        </w:rPr>
      </w:pPr>
    </w:p>
    <w:p>
      <w:pPr>
        <w:ind w:left="720" w:hanging="720"/>
        <w:spacing w:after="0"/>
        <w:tabs>
          <w:tab w:leader="none" w:pos="7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June 30, 2026, we maintained the OSI Plan as a stock-based employee compensation plan.</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recorded stock-based compensation expense in the consolidated statements of operations as follows (in thousands):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58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58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Cost of goods sold</w:t>
            </w:r>
          </w:p>
        </w:tc>
        <w:tc>
          <w:tcPr>
            <w:tcW w:w="16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930</w:t>
            </w:r>
          </w:p>
        </w:tc>
        <w:tc>
          <w:tcPr>
            <w:tcW w:w="340" w:type="dxa"/>
            <w:vAlign w:val="bottom"/>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1,014</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6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6E6E6"/>
              </w:rPr>
              <w:t>1,171</w:t>
            </w: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24,594</w:t>
            </w:r>
          </w:p>
        </w:tc>
      </w:tr>
      <w:tr>
        <w:trPr>
          <w:trHeight w:val="230"/>
        </w:trPr>
        <w:tc>
          <w:tcPr>
            <w:tcW w:w="58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668</w:t>
            </w:r>
          </w:p>
        </w:tc>
      </w:tr>
      <w:tr>
        <w:trPr>
          <w:trHeight w:val="230"/>
        </w:trPr>
        <w:tc>
          <w:tcPr>
            <w:tcW w:w="582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Stock-based compensation expense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28,706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31,959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26,433</w:t>
            </w:r>
          </w:p>
        </w:tc>
      </w:tr>
    </w:tbl>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of June 30, 2026, total unrecognized compensation cost related to stock-based compensation grants under the OSI Plan was estimated at $0.9 million for stock options and $13.3 million for restricted stock units (“RSUs”). We expect to recognize these costs over a weighted-average period of 1.87 years with respect to the stock options and 2.2 years for grants of RSUs.</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800"/>
          </w:cols>
          <w:pgMar w:left="540" w:top="846" w:right="540" w:bottom="7" w:gutter="0" w:footer="0" w:header="0"/>
          <w:type w:val="continuous"/>
        </w:sectPr>
      </w:pPr>
    </w:p>
    <w:bookmarkStart w:id="94" w:name="page95"/>
    <w:bookmarkEnd w:id="94"/>
    <w:p>
      <w:pPr>
        <w:jc w:val="center"/>
        <w:spacing w:after="0" w:line="448"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OSI Plan</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Awards are granted in the form of incentive options, nonqualified options, stock appreciation rights, RSUs, performance shares and stock bonuses, amongst other forms of equity, to qualified employees, directors and consultants.</w:t>
      </w:r>
    </w:p>
    <w:p>
      <w:pPr>
        <w:spacing w:after="0" w:line="16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Under the OSI Plan, the exercise price of nonqualified options and incentive stock options may not be less than the fair market value of our common stock on the date of grant. The exercise price of nonqualified options and incentive stock options granted to individuals who own more than 10% of our voting stock may not be less than 110% of the fair market value of our common stock on the date of grant. Stock options granted under the OSI Plan typically vest over three years based on continued service. Restricted stock and RSUs typically vest over three to four years based on continued service. Certain restricted stock awards granted to senior management vest based on the achievement of pre-established performance criteria.</w:t>
      </w:r>
    </w:p>
    <w:p>
      <w:pPr>
        <w:spacing w:after="0" w:line="19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Option Fair Value Estimation Assumptions. </w:t>
      </w:r>
      <w:r>
        <w:rPr>
          <w:rFonts w:ascii="Times New Roman" w:cs="Times New Roman" w:eastAsia="Times New Roman" w:hAnsi="Times New Roman"/>
          <w:sz w:val="20"/>
          <w:szCs w:val="20"/>
          <w:color w:val="auto"/>
        </w:rPr>
        <w:t>We estimate the fair value of our stock options at the date of grant using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Black-Scholes option-pricing valuation model. Our valuation model is affected by our stock price as well as weighted average assumptions for a number of subjective variables described below.</w:t>
      </w:r>
    </w:p>
    <w:p>
      <w:pPr>
        <w:spacing w:after="0" w:line="18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Expected Dividend. </w:t>
      </w:r>
      <w:r>
        <w:rPr>
          <w:rFonts w:ascii="Times New Roman" w:cs="Times New Roman" w:eastAsia="Times New Roman" w:hAnsi="Times New Roman"/>
          <w:sz w:val="20"/>
          <w:szCs w:val="20"/>
          <w:color w:val="auto"/>
        </w:rPr>
        <w:t>Expected dividend is based on historical patterns and our anticipated dividend payments over the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holding period.</w:t>
      </w:r>
    </w:p>
    <w:p>
      <w:pPr>
        <w:spacing w:after="0" w:line="16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for stock options is based on U.S. Treasuries for a maturity matching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holding period.</w:t>
      </w:r>
    </w:p>
    <w:p>
      <w:pPr>
        <w:spacing w:after="0" w:line="167"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Expected volatility is based on implied volatility and/or our historical share price volatility matching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holding period. No single method of estimating volatility is proper under all circumstances and to the extent that a company can derive implied volatility based on the trading of its financial instruments on a public market, it may be appropriate to use both implied and historical volatility in its assumptions. We have certain financial instruments that are publicly traded from which we can derive the implied volatility. Therefore, we use implied and historical volatility for valuing our stock options. We believe that implied and historical volatility is a better indicator of expected volatility because it is generally reflective of both historical volatility and expectations of how future volatility will differ from historical volatility.</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Expected Holding Period.  </w:t>
      </w:r>
      <w:r>
        <w:rPr>
          <w:rFonts w:ascii="Times New Roman" w:cs="Times New Roman" w:eastAsia="Times New Roman" w:hAnsi="Times New Roman"/>
          <w:sz w:val="20"/>
          <w:szCs w:val="20"/>
          <w:color w:val="auto"/>
        </w:rPr>
        <w:t>We use historical stock option exercise data to estimate the expected holding period.</w:t>
      </w:r>
    </w:p>
    <w:p>
      <w:pPr>
        <w:spacing w:after="0" w:line="23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Changes in assumptions can materially impact the estimated fair value of stock options. The weighted average assumptions used in the valuation model are presented in the table below.</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980" w:type="dxa"/>
            <w:vAlign w:val="bottom"/>
            <w:tcBorders>
              <w:bottom w:val="single" w:sz="8" w:color="E6E6E6"/>
            </w:tcBorders>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6E6E6"/>
            </w:tcBorders>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6E6E6"/>
            </w:tcBorders>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6E6E6"/>
            </w:tcBorders>
          </w:tcPr>
          <w:p>
            <w:pPr>
              <w:spacing w:after="0"/>
              <w:rPr>
                <w:sz w:val="17"/>
                <w:szCs w:val="17"/>
                <w:color w:val="auto"/>
              </w:rPr>
            </w:pPr>
          </w:p>
        </w:tc>
      </w:tr>
      <w:tr>
        <w:trPr>
          <w:trHeight w:val="220"/>
        </w:trPr>
        <w:tc>
          <w:tcPr>
            <w:tcW w:w="59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Expected dividend</w:t>
            </w:r>
          </w:p>
        </w:tc>
        <w:tc>
          <w:tcPr>
            <w:tcW w:w="880" w:type="dxa"/>
            <w:vAlign w:val="bottom"/>
            <w:gridSpan w:val="2"/>
            <w:shd w:val="clear" w:color="auto" w:fill="E6E6E6"/>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E6E6E6"/>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E6E6E6"/>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3.6 %</w:t>
            </w:r>
          </w:p>
        </w:tc>
      </w:tr>
      <w:tr>
        <w:trPr>
          <w:trHeight w:val="230"/>
        </w:trPr>
        <w:tc>
          <w:tcPr>
            <w:tcW w:w="59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8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29.0 %</w:t>
            </w:r>
          </w:p>
        </w:tc>
        <w:tc>
          <w:tcPr>
            <w:tcW w:w="90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29.0 %</w:t>
            </w:r>
          </w:p>
        </w:tc>
        <w:tc>
          <w:tcPr>
            <w:tcW w:w="8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34.0 %</w:t>
            </w:r>
          </w:p>
        </w:tc>
      </w:tr>
      <w:tr>
        <w:trPr>
          <w:trHeight w:val="267"/>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Expected holding period (in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800"/>
          </w:cols>
          <w:pgMar w:left="540" w:top="846" w:right="540" w:bottom="7"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20"/>
          <w:szCs w:val="20"/>
          <w:color w:val="auto"/>
        </w:rPr>
        <w:t>The following summarizes stock option activity for fiscal years 2024, 2025 and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5"/>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84"/>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5"/>
                <w:szCs w:val="15"/>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03"/>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40" w:type="dxa"/>
            <w:vAlign w:val="bottom"/>
          </w:tcPr>
          <w:p>
            <w:pPr>
              <w:spacing w:after="0"/>
              <w:rPr>
                <w:sz w:val="17"/>
                <w:szCs w:val="17"/>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0"/>
        </w:trPr>
        <w:tc>
          <w:tcPr>
            <w:tcW w:w="554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Outstanding at June 30, 2023</w:t>
            </w:r>
          </w:p>
        </w:tc>
        <w:tc>
          <w:tcPr>
            <w:tcW w:w="9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83,677</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87.09</w:t>
            </w:r>
          </w:p>
        </w:tc>
        <w:tc>
          <w:tcPr>
            <w:tcW w:w="1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5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Exercised</w:t>
            </w:r>
          </w:p>
        </w:tc>
        <w:tc>
          <w:tcPr>
            <w:tcW w:w="11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(22,698)</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81.67</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Expired or 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(4,459)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0"/>
        </w:trPr>
        <w:tc>
          <w:tcPr>
            <w:tcW w:w="554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Outstanding at June 30, 2024</w:t>
            </w:r>
          </w:p>
        </w:tc>
        <w:tc>
          <w:tcPr>
            <w:tcW w:w="9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78,958</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97.87</w:t>
            </w:r>
          </w:p>
        </w:tc>
        <w:tc>
          <w:tcPr>
            <w:tcW w:w="1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940" w:type="dxa"/>
            <w:vAlign w:val="bottom"/>
            <w:tcBorders>
              <w:top w:val="single" w:sz="8" w:color="E6E6E6"/>
            </w:tcBorders>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5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Exercised</w:t>
            </w:r>
          </w:p>
        </w:tc>
        <w:tc>
          <w:tcPr>
            <w:tcW w:w="11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(33,782)</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91.69</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Expired or 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0"/>
        </w:trPr>
        <w:tc>
          <w:tcPr>
            <w:tcW w:w="554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Outstanding at June 30, 2025</w:t>
            </w:r>
          </w:p>
        </w:tc>
        <w:tc>
          <w:tcPr>
            <w:tcW w:w="9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60,253</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121.41</w:t>
            </w:r>
          </w:p>
        </w:tc>
        <w:tc>
          <w:tcPr>
            <w:tcW w:w="1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940" w:type="dxa"/>
            <w:vAlign w:val="bottom"/>
            <w:tcBorders>
              <w:top w:val="single" w:sz="8" w:color="E6E6E6"/>
            </w:tcBorders>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5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Exercised</w:t>
            </w:r>
          </w:p>
        </w:tc>
        <w:tc>
          <w:tcPr>
            <w:tcW w:w="11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(15,650)</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109.52</w:t>
            </w:r>
          </w:p>
        </w:tc>
        <w:tc>
          <w:tcPr>
            <w:tcW w:w="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r>
        <w:trPr>
          <w:trHeight w:val="230"/>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Expired or 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54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Outstanding at June 30, 2026</w:t>
            </w:r>
          </w:p>
        </w:tc>
        <w:tc>
          <w:tcPr>
            <w:tcW w:w="9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51,449</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147.</w:t>
            </w:r>
            <w:r>
              <w:rPr>
                <w:rFonts w:ascii="Times New Roman" w:cs="Times New Roman" w:eastAsia="Times New Roman" w:hAnsi="Times New Roman"/>
                <w:sz w:val="20"/>
                <w:szCs w:val="20"/>
                <w:u w:val="single" w:color="auto"/>
                <w:color w:val="auto"/>
              </w:rPr>
              <w:t>69</w:t>
            </w:r>
          </w:p>
        </w:tc>
        <w:tc>
          <w:tcPr>
            <w:tcW w:w="14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20" w:type="dxa"/>
            <w:vAlign w:val="bottom"/>
            <w:tcBorders>
              <w:top w:val="single" w:sz="8" w:color="E6E6E6"/>
            </w:tcBorders>
            <w:shd w:val="clear" w:color="auto" w:fill="E6E6E6"/>
          </w:tcPr>
          <w:p>
            <w:pPr>
              <w:ind w:left="840"/>
              <w:spacing w:after="0" w:line="220" w:lineRule="exact"/>
              <w:rPr>
                <w:sz w:val="20"/>
                <w:szCs w:val="20"/>
                <w:color w:val="auto"/>
              </w:rPr>
            </w:pPr>
            <w:r>
              <w:rPr>
                <w:rFonts w:ascii="Times New Roman" w:cs="Times New Roman" w:eastAsia="Times New Roman" w:hAnsi="Times New Roman"/>
                <w:sz w:val="20"/>
                <w:szCs w:val="20"/>
                <w:color w:val="auto"/>
              </w:rPr>
              <w:t>7.4 years</w:t>
            </w:r>
          </w:p>
        </w:tc>
        <w:tc>
          <w:tcPr>
            <w:tcW w:w="300" w:type="dxa"/>
            <w:vAlign w:val="bottom"/>
            <w:tcBorders>
              <w:top w:val="single" w:sz="8" w:color="E6E6E6"/>
            </w:tcBorders>
            <w:gridSpan w:val="3"/>
            <w:shd w:val="clear" w:color="auto" w:fill="E6E6E6"/>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E6E6E6"/>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4,050</w:t>
            </w:r>
          </w:p>
        </w:tc>
      </w:tr>
      <w:tr>
        <w:trPr>
          <w:trHeight w:val="242"/>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June 30, 2026</w:t>
            </w:r>
          </w:p>
        </w:tc>
        <w:tc>
          <w:tcPr>
            <w:tcW w:w="20" w:type="dxa"/>
            <w:vAlign w:val="bottom"/>
            <w:tcBorders>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r>
              <w:rPr>
                <w:rFonts w:ascii="Times New Roman" w:cs="Times New Roman" w:eastAsia="Times New Roman" w:hAnsi="Times New Roman"/>
                <w:sz w:val="20"/>
                <w:szCs w:val="20"/>
                <w:u w:val="single" w:color="auto"/>
                <w:color w:val="auto"/>
              </w:rPr>
              <w:t>91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6.4 years</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w:t>
            </w:r>
          </w:p>
        </w:tc>
      </w:tr>
    </w:tbl>
    <w:p>
      <w:pPr>
        <w:spacing w:after="0" w:line="21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per-share weighted-average grant-date fair value of stock options granted under the OSI Plan was $38.28, $55.50 and $90.76 for fiscal 2024, 2025 and 2026, respectively. The total intrinsic value of options exercised during fiscal 2026 was $2.5 million.</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Restricted Stock Units</w:t>
      </w:r>
      <w:r>
        <w:rPr>
          <w:rFonts w:ascii="Times New Roman" w:cs="Times New Roman" w:eastAsia="Times New Roman" w:hAnsi="Times New Roman"/>
          <w:sz w:val="20"/>
          <w:szCs w:val="20"/>
          <w:color w:val="auto"/>
        </w:rPr>
        <w:t>—A summary of RSU activity for the periods indicated was as follows:</w:t>
      </w:r>
    </w:p>
    <w:p>
      <w:pPr>
        <w:spacing w:after="0" w:line="25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4"/>
        </w:trPr>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4"/>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9"/>
        </w:trPr>
        <w:tc>
          <w:tcPr>
            <w:tcW w:w="6680" w:type="dxa"/>
            <w:vAlign w:val="bottom"/>
            <w:tcBorders>
              <w:top w:val="single" w:sz="8" w:color="E6E6E6"/>
            </w:tcBorders>
            <w:gridSpan w:val="2"/>
            <w:shd w:val="clear" w:color="auto" w:fill="E6E6E6"/>
          </w:tcPr>
          <w:p>
            <w:pPr>
              <w:spacing w:after="0" w:line="219" w:lineRule="exact"/>
              <w:rPr>
                <w:sz w:val="20"/>
                <w:szCs w:val="20"/>
                <w:color w:val="auto"/>
              </w:rPr>
            </w:pPr>
            <w:r>
              <w:rPr>
                <w:rFonts w:ascii="Times New Roman" w:cs="Times New Roman" w:eastAsia="Times New Roman" w:hAnsi="Times New Roman"/>
                <w:sz w:val="20"/>
                <w:szCs w:val="20"/>
                <w:color w:val="auto"/>
              </w:rPr>
              <w:t>Nonvested at June 30, 2023</w:t>
            </w:r>
          </w:p>
        </w:tc>
        <w:tc>
          <w:tcPr>
            <w:tcW w:w="820" w:type="dxa"/>
            <w:vAlign w:val="bottom"/>
            <w:tcBorders>
              <w:top w:val="single" w:sz="8" w:color="auto"/>
            </w:tcBorders>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455,515</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85.15</w:t>
            </w:r>
          </w:p>
        </w:tc>
      </w:tr>
      <w:tr>
        <w:trPr>
          <w:trHeight w:val="23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333,114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95.42</w:t>
            </w:r>
          </w:p>
        </w:tc>
      </w:tr>
      <w:tr>
        <w:trPr>
          <w:trHeight w:val="230"/>
        </w:trPr>
        <w:tc>
          <w:tcPr>
            <w:tcW w:w="668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0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(390,375)</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79.75</w:t>
            </w:r>
          </w:p>
        </w:tc>
      </w:tr>
      <w:tr>
        <w:trPr>
          <w:trHeight w:val="22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88.76</w:t>
            </w:r>
          </w:p>
        </w:tc>
      </w:tr>
      <w:tr>
        <w:trPr>
          <w:trHeight w:val="220"/>
        </w:trPr>
        <w:tc>
          <w:tcPr>
            <w:tcW w:w="668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Nonvested at June 30, 2024</w:t>
            </w: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391,591</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99.21</w:t>
            </w:r>
          </w:p>
        </w:tc>
      </w:tr>
      <w:tr>
        <w:trPr>
          <w:trHeight w:val="23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150.91</w:t>
            </w:r>
          </w:p>
        </w:tc>
      </w:tr>
      <w:tr>
        <w:trPr>
          <w:trHeight w:val="230"/>
        </w:trPr>
        <w:tc>
          <w:tcPr>
            <w:tcW w:w="668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0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(323,297)</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127.88</w:t>
            </w:r>
          </w:p>
        </w:tc>
      </w:tr>
      <w:tr>
        <w:trPr>
          <w:trHeight w:val="22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103.40</w:t>
            </w:r>
          </w:p>
        </w:tc>
      </w:tr>
      <w:tr>
        <w:trPr>
          <w:trHeight w:val="220"/>
        </w:trPr>
        <w:tc>
          <w:tcPr>
            <w:tcW w:w="668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Nonvested at June 30, 2025</w:t>
            </w: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355,396</w:t>
            </w: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116.34</w:t>
            </w:r>
          </w:p>
        </w:tc>
      </w:tr>
      <w:tr>
        <w:trPr>
          <w:trHeight w:val="23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228,602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226.58</w:t>
            </w:r>
          </w:p>
        </w:tc>
      </w:tr>
      <w:tr>
        <w:trPr>
          <w:trHeight w:val="230"/>
        </w:trPr>
        <w:tc>
          <w:tcPr>
            <w:tcW w:w="668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0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(339,252)</w:t>
            </w: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162.20</w:t>
            </w:r>
          </w:p>
        </w:tc>
      </w:tr>
      <w:tr>
        <w:trPr>
          <w:trHeight w:val="22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126.33</w:t>
            </w:r>
          </w:p>
        </w:tc>
      </w:tr>
      <w:tr>
        <w:trPr>
          <w:trHeight w:val="230"/>
        </w:trPr>
        <w:tc>
          <w:tcPr>
            <w:tcW w:w="6660" w:type="dxa"/>
            <w:vAlign w:val="bottom"/>
            <w:tcBorders>
              <w:top w:val="single" w:sz="8" w:color="E6E6E6"/>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Nonvested at June 30, 2026</w:t>
            </w: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82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241,735</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0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156.</w:t>
            </w:r>
            <w:r>
              <w:rPr>
                <w:rFonts w:ascii="Times New Roman" w:cs="Times New Roman" w:eastAsia="Times New Roman" w:hAnsi="Times New Roman"/>
                <w:sz w:val="20"/>
                <w:szCs w:val="20"/>
                <w:u w:val="single" w:color="auto"/>
                <w:color w:val="auto"/>
              </w:rPr>
              <w:t>11</w:t>
            </w:r>
          </w:p>
        </w:tc>
      </w:tr>
    </w:tbl>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per-share weighted average grant-date fair value of RSUs granted under the OSI Plan was $ 95.42, $127.88, and $226.58 for fiscal 2024, 2025 and 2026, respectively. The total fair value of shares vested during fiscal 2024, 2025 and 2026 was $31.1 million, $41.3 million, and $55.0 million, respectively.</w:t>
      </w:r>
    </w:p>
    <w:p>
      <w:pPr>
        <w:spacing w:after="0" w:line="18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December 2023, our shareholders approved an amendment to the OSI Plan, which increased the shares available under the OSI Plan by 2.4 million shares, resulting in a maximum pool of 9.5 million shares. As of June 30, 2026, there were approximately 1.6 million shares available for grant under the OSI Plan. Under the terms of the OSI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800"/>
          </w:cols>
          <w:pgMar w:left="540" w:top="846" w:right="540" w:bottom="7" w:gutter="0" w:footer="0" w:header="0"/>
          <w:type w:val="continuous"/>
        </w:sectPr>
      </w:pPr>
    </w:p>
    <w:bookmarkStart w:id="96" w:name="page97"/>
    <w:bookmarkEnd w:id="96"/>
    <w:p>
      <w:pPr>
        <w:jc w:val="center"/>
        <w:ind w:left="540" w:right="2140"/>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left="1" w:firstLine="720"/>
        <w:spacing w:after="0" w:line="249" w:lineRule="auto"/>
        <w:rPr>
          <w:sz w:val="20"/>
          <w:szCs w:val="20"/>
          <w:color w:val="auto"/>
        </w:rPr>
      </w:pPr>
      <w:r>
        <w:rPr>
          <w:rFonts w:ascii="Times New Roman" w:cs="Times New Roman" w:eastAsia="Times New Roman" w:hAnsi="Times New Roman"/>
          <w:sz w:val="20"/>
          <w:szCs w:val="20"/>
          <w:color w:val="auto"/>
        </w:rPr>
        <w:t>We granted 75,988, 80,682, and 49,431 performance-based awards during fiscal 2024, 2025 and 2026, respectively. These performance-based RSU awards are contingent on the achievement of certain performance metrics. The payout related to these awards can range from zero to 376% of the original number of shares or units awarded. Compensation cost associated with these performance- based RSUs are recognized based on the estimated number of shares that we ultimately expect will vest. If the estimated number of shares to vest is revised in the future, then stock-based compensation expense will be adjusted accordingly.</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9" w:lineRule="exact"/>
        <w:rPr>
          <w:sz w:val="20"/>
          <w:szCs w:val="20"/>
          <w:color w:val="auto"/>
        </w:rPr>
      </w:pPr>
    </w:p>
    <w:p>
      <w:pPr>
        <w:jc w:val="both"/>
        <w:ind w:left="1" w:firstLine="720"/>
        <w:spacing w:after="0" w:line="252" w:lineRule="auto"/>
        <w:rPr>
          <w:sz w:val="20"/>
          <w:szCs w:val="20"/>
          <w:color w:val="auto"/>
        </w:rPr>
      </w:pPr>
      <w:r>
        <w:rPr>
          <w:rFonts w:ascii="Times New Roman" w:cs="Times New Roman" w:eastAsia="Times New Roman" w:hAnsi="Times New Roman"/>
          <w:sz w:val="20"/>
          <w:szCs w:val="20"/>
          <w:color w:val="auto"/>
        </w:rPr>
        <w:t>We have an employee stock purchase plan under which eligible employees may purchase a limited number of shares of common stock at a discount of up to 15% of the market value of such stock at pre-determined, plan-defined dates. During the years ended June 30, 2024, 2025 and 2026, employees purchased 63,111, 53,697, 40,091 shares, respectively. As of June 30, 2026, there were 259,863 shares of our common stock available for issuance under the plan.</w:t>
      </w:r>
    </w:p>
    <w:p>
      <w:pPr>
        <w:spacing w:after="0" w:line="1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239" w:lineRule="exact"/>
        <w:rPr>
          <w:sz w:val="20"/>
          <w:szCs w:val="20"/>
          <w:color w:val="auto"/>
        </w:rPr>
      </w:pPr>
    </w:p>
    <w:p>
      <w:pPr>
        <w:jc w:val="both"/>
        <w:ind w:left="1" w:firstLine="720"/>
        <w:spacing w:after="0" w:line="263" w:lineRule="auto"/>
        <w:rPr>
          <w:sz w:val="20"/>
          <w:szCs w:val="20"/>
          <w:color w:val="auto"/>
        </w:rPr>
      </w:pPr>
      <w:r>
        <w:rPr>
          <w:rFonts w:ascii="Times New Roman" w:cs="Times New Roman" w:eastAsia="Times New Roman" w:hAnsi="Times New Roman"/>
          <w:sz w:val="19"/>
          <w:szCs w:val="19"/>
          <w:color w:val="auto"/>
        </w:rPr>
        <w:t>In September 2022, our Board of Directors increased the stock repurchase authorization to a total of two million shares of common stock. This program does not expire unless our Board of Directors acts to terminate the program. 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w:t>
      </w:r>
    </w:p>
    <w:p>
      <w:pPr>
        <w:spacing w:after="0" w:line="184" w:lineRule="exact"/>
        <w:rPr>
          <w:sz w:val="20"/>
          <w:szCs w:val="20"/>
          <w:color w:val="auto"/>
        </w:rPr>
      </w:pPr>
    </w:p>
    <w:p>
      <w:pPr>
        <w:jc w:val="both"/>
        <w:ind w:left="1" w:firstLine="720"/>
        <w:spacing w:after="0" w:line="278" w:lineRule="auto"/>
        <w:rPr>
          <w:sz w:val="20"/>
          <w:szCs w:val="20"/>
          <w:color w:val="auto"/>
        </w:rPr>
      </w:pPr>
      <w:r>
        <w:rPr>
          <w:rFonts w:ascii="Times New Roman" w:cs="Times New Roman" w:eastAsia="Times New Roman" w:hAnsi="Times New Roman"/>
          <w:sz w:val="20"/>
          <w:szCs w:val="20"/>
          <w:color w:val="auto"/>
        </w:rPr>
        <w:t>On August 20, 2026, we announced that our Board of Directors has approved an additional one million shares for repurchase under our stock repurchase program, increasing the total remaining authorization to 1,078,731 shares.</w:t>
      </w:r>
    </w:p>
    <w:p>
      <w:pPr>
        <w:spacing w:after="0" w:line="168"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During fiscal 2024, 2025 and 2026, we repurchased zero shares, 531,314 shares and 1,111,825 shares, respectively, of common stock under our then current programs. As of June 30, 2026, there were 78,731 shares remaining available for repurchase under the authorized repurchase program.</w:t>
      </w:r>
    </w:p>
    <w:p>
      <w:pPr>
        <w:spacing w:after="0" w:line="1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39" w:lineRule="exact"/>
        <w:rPr>
          <w:sz w:val="20"/>
          <w:szCs w:val="20"/>
          <w:color w:val="auto"/>
        </w:rPr>
      </w:pPr>
    </w:p>
    <w:p>
      <w:pPr>
        <w:jc w:val="both"/>
        <w:ind w:left="1" w:firstLine="720"/>
        <w:spacing w:after="0" w:line="258" w:lineRule="auto"/>
        <w:rPr>
          <w:sz w:val="20"/>
          <w:szCs w:val="20"/>
          <w:color w:val="auto"/>
        </w:rPr>
      </w:pPr>
      <w:r>
        <w:rPr>
          <w:rFonts w:ascii="Times New Roman" w:cs="Times New Roman" w:eastAsia="Times New Roman" w:hAnsi="Times New Roman"/>
          <w:sz w:val="20"/>
          <w:szCs w:val="20"/>
          <w:color w:val="auto"/>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spacing w:after="0" w:line="175" w:lineRule="exact"/>
        <w:rPr>
          <w:sz w:val="20"/>
          <w:szCs w:val="20"/>
          <w:color w:val="auto"/>
        </w:rPr>
      </w:pPr>
    </w:p>
    <w:p>
      <w:pPr>
        <w:ind w:left="721" w:hanging="721"/>
        <w:spacing w:after="0"/>
        <w:tabs>
          <w:tab w:leader="none" w:pos="721"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3" w:lineRule="exact"/>
        <w:rPr>
          <w:rFonts w:ascii="Times New Roman" w:cs="Times New Roman" w:eastAsia="Times New Roman" w:hAnsi="Times New Roman"/>
          <w:sz w:val="20"/>
          <w:szCs w:val="20"/>
          <w:b w:val="1"/>
          <w:bCs w:val="1"/>
          <w:color w:val="auto"/>
        </w:rPr>
      </w:pPr>
    </w:p>
    <w:p>
      <w:pPr>
        <w:ind w:left="721"/>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 geographical breakdown of income before the provision for income taxes (in thousands):</w:t>
      </w:r>
    </w:p>
    <w:p>
      <w:pPr>
        <w:spacing w:after="0" w:line="251" w:lineRule="exact"/>
        <w:rPr>
          <w:sz w:val="20"/>
          <w:szCs w:val="20"/>
          <w:color w:val="auto"/>
        </w:rPr>
      </w:pPr>
    </w:p>
    <w:tbl>
      <w:tblPr>
        <w:tblLayout w:type="fixed"/>
        <w:tblInd w:w="1081" w:type="dxa"/>
        <w:tblCellMar>
          <w:top w:w="0" w:type="dxa"/>
          <w:left w:w="0" w:type="dxa"/>
          <w:bottom w:w="0" w:type="dxa"/>
          <w:right w:w="0" w:type="dxa"/>
        </w:tblCellMar>
      </w:tblPr>
      <w:tr>
        <w:trPr>
          <w:trHeight w:val="203"/>
        </w:trPr>
        <w:tc>
          <w:tcPr>
            <w:tcW w:w="55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55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Pre-tax income:</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r>
      <w:tr>
        <w:trPr>
          <w:trHeight w:val="23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41,330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45,277</w:t>
            </w:r>
          </w:p>
        </w:tc>
      </w:tr>
      <w:tr>
        <w:trPr>
          <w:trHeight w:val="229"/>
        </w:trPr>
        <w:tc>
          <w:tcPr>
            <w:tcW w:w="55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119,884</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155,876</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147,469</w:t>
            </w:r>
          </w:p>
        </w:tc>
      </w:tr>
      <w:tr>
        <w:trPr>
          <w:trHeight w:val="230"/>
        </w:trPr>
        <w:tc>
          <w:tcPr>
            <w:tcW w:w="55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pre-tax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161,214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186,094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192,746</w:t>
            </w:r>
          </w:p>
        </w:tc>
      </w:tr>
    </w:tbl>
    <w:p>
      <w:pPr>
        <w:spacing w:after="0" w:line="200" w:lineRule="exact"/>
        <w:rPr>
          <w:sz w:val="20"/>
          <w:szCs w:val="20"/>
          <w:color w:val="auto"/>
        </w:rPr>
      </w:pPr>
    </w:p>
    <w:p>
      <w:pPr>
        <w:sectPr>
          <w:pgSz w:w="11880" w:h="15480" w:orient="portrait"/>
          <w:cols w:equalWidth="0" w:num="1">
            <w:col w:w="10801"/>
          </w:cols>
          <w:pgMar w:left="539"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801"/>
          </w:cols>
          <w:pgMar w:left="539" w:top="846" w:right="540" w:bottom="7" w:gutter="0" w:footer="0" w:header="0"/>
          <w:type w:val="continuous"/>
        </w:sectPr>
      </w:pPr>
    </w:p>
    <w:bookmarkStart w:id="97" w:name="page98"/>
    <w:bookmarkEnd w:id="97"/>
    <w:p>
      <w:pPr>
        <w:ind w:left="3500"/>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provision for income taxes consists of the following (in thousands):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5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55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Current:</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r>
      <w:tr>
        <w:trPr>
          <w:trHeight w:val="23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22,229</w:t>
            </w:r>
          </w:p>
        </w:tc>
        <w:tc>
          <w:tcPr>
            <w:tcW w:w="18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8,583</w:t>
            </w:r>
          </w:p>
        </w:tc>
      </w:tr>
      <w:tr>
        <w:trPr>
          <w:trHeight w:val="230"/>
        </w:trPr>
        <w:tc>
          <w:tcPr>
            <w:tcW w:w="55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2,122</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2,260</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2,422</w:t>
            </w:r>
          </w:p>
        </w:tc>
      </w:tr>
      <w:tr>
        <w:trPr>
          <w:trHeight w:val="229"/>
        </w:trPr>
        <w:tc>
          <w:tcPr>
            <w:tcW w:w="55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22,842</w:t>
            </w:r>
          </w:p>
        </w:tc>
        <w:tc>
          <w:tcPr>
            <w:tcW w:w="1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31,066</w:t>
            </w:r>
          </w:p>
        </w:tc>
        <w:tc>
          <w:tcPr>
            <w:tcW w:w="1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29,062</w:t>
            </w:r>
          </w:p>
        </w:tc>
      </w:tr>
      <w:tr>
        <w:trPr>
          <w:trHeight w:val="220"/>
        </w:trPr>
        <w:tc>
          <w:tcPr>
            <w:tcW w:w="5580" w:type="dxa"/>
            <w:vAlign w:val="bottom"/>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current provision</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47,193</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45,544</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40,067</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55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(13,375)</w:t>
            </w:r>
          </w:p>
        </w:tc>
        <w:tc>
          <w:tcPr>
            <w:tcW w:w="2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(7,667)</w:t>
            </w: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(1,509)</w:t>
            </w:r>
          </w:p>
        </w:tc>
      </w:tr>
      <w:tr>
        <w:trPr>
          <w:trHeight w:val="23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(594)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r>
      <w:tr>
        <w:trPr>
          <w:trHeight w:val="230"/>
        </w:trPr>
        <w:tc>
          <w:tcPr>
            <w:tcW w:w="55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(164)</w:t>
            </w: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8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(567)</w:t>
            </w: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327</w:t>
            </w:r>
          </w:p>
        </w:tc>
      </w:tr>
      <w:tr>
        <w:trPr>
          <w:trHeight w:val="220"/>
        </w:trPr>
        <w:tc>
          <w:tcPr>
            <w:tcW w:w="5580" w:type="dxa"/>
            <w:vAlign w:val="bottom"/>
            <w:tcBorders>
              <w:bottom w:val="single" w:sz="8" w:color="E6E6E6"/>
            </w:tcBorders>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deferred (benefit)</w:t>
            </w:r>
          </w:p>
        </w:tc>
        <w:tc>
          <w:tcPr>
            <w:tcW w:w="2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(14,133)</w:t>
            </w:r>
          </w:p>
        </w:tc>
        <w:tc>
          <w:tcPr>
            <w:tcW w:w="1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(9,087)</w:t>
            </w:r>
          </w:p>
        </w:tc>
        <w:tc>
          <w:tcPr>
            <w:tcW w:w="1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(2,032)</w:t>
            </w:r>
          </w:p>
        </w:tc>
      </w:tr>
      <w:tr>
        <w:trPr>
          <w:trHeight w:val="230"/>
        </w:trPr>
        <w:tc>
          <w:tcPr>
            <w:tcW w:w="55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 provision</w:t>
            </w: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33,060</w:t>
            </w:r>
          </w:p>
        </w:tc>
        <w:tc>
          <w:tcPr>
            <w:tcW w:w="180" w:type="dxa"/>
            <w:vAlign w:val="bottom"/>
            <w:shd w:val="clear" w:color="auto" w:fill="E6E6E6"/>
          </w:tcPr>
          <w:p>
            <w:pPr>
              <w:spacing w:after="0"/>
              <w:rPr>
                <w:sz w:val="20"/>
                <w:szCs w:val="20"/>
                <w:color w:val="auto"/>
              </w:rPr>
            </w:pPr>
          </w:p>
        </w:tc>
        <w:tc>
          <w:tcPr>
            <w:tcW w:w="200" w:type="dxa"/>
            <w:vAlign w:val="bottom"/>
            <w:tcBorders>
              <w:bottom w:val="single" w:sz="8" w:color="auto"/>
            </w:tcBorders>
            <w:gridSpan w:val="2"/>
            <w:shd w:val="clear" w:color="auto" w:fill="E6E6E6"/>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36,457</w:t>
            </w:r>
          </w:p>
        </w:tc>
        <w:tc>
          <w:tcPr>
            <w:tcW w:w="18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38,035</w:t>
            </w:r>
          </w:p>
        </w:tc>
      </w:tr>
    </w:tbl>
    <w:p>
      <w:pPr>
        <w:spacing w:after="0" w:line="21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Net income tax payments for the year ended June 30, 2026, after the prospective adoption of ASU 2023-09, consisted of the following:</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States – federal (1)</w:t>
            </w:r>
          </w:p>
        </w:tc>
        <w:tc>
          <w:tcPr>
            <w:tcW w:w="280" w:type="dxa"/>
            <w:vAlign w:val="bottom"/>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10,351</w:t>
            </w:r>
          </w:p>
        </w:tc>
      </w:tr>
      <w:tr>
        <w:trPr>
          <w:trHeight w:val="229"/>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States – state and local</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w:t>
            </w:r>
          </w:p>
        </w:tc>
      </w:tr>
      <w:tr>
        <w:trPr>
          <w:trHeight w:val="230"/>
        </w:trPr>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28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11,919</w:t>
            </w: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Canada</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w:t>
            </w:r>
          </w:p>
        </w:tc>
      </w:tr>
      <w:tr>
        <w:trPr>
          <w:trHeight w:val="229"/>
        </w:trPr>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Malaysia</w:t>
            </w:r>
          </w:p>
        </w:tc>
        <w:tc>
          <w:tcPr>
            <w:tcW w:w="28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6,277</w:t>
            </w: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Singapore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w:t>
            </w:r>
          </w:p>
        </w:tc>
      </w:tr>
      <w:tr>
        <w:trPr>
          <w:trHeight w:val="230"/>
        </w:trPr>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foreign</w:t>
            </w:r>
          </w:p>
        </w:tc>
        <w:tc>
          <w:tcPr>
            <w:tcW w:w="280" w:type="dxa"/>
            <w:vAlign w:val="bottom"/>
            <w:tcBorders>
              <w:bottom w:val="single" w:sz="8" w:color="auto"/>
            </w:tcBorders>
            <w:shd w:val="clear" w:color="auto" w:fill="E6E6E6"/>
          </w:tcPr>
          <w:p>
            <w:pPr>
              <w:spacing w:after="0"/>
              <w:rPr>
                <w:sz w:val="20"/>
                <w:szCs w:val="20"/>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7,497</w:t>
            </w:r>
          </w:p>
        </w:tc>
      </w:tr>
      <w:tr>
        <w:trPr>
          <w:trHeight w:val="230"/>
        </w:trPr>
        <w:tc>
          <w:tcPr>
            <w:tcW w:w="75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684530</wp:posOffset>
                </wp:positionH>
                <wp:positionV relativeFrom="paragraph">
                  <wp:posOffset>106045</wp:posOffset>
                </wp:positionV>
                <wp:extent cx="15430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05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pt,8.35pt" to="175.4pt,8.35pt" o:allowincell="f" strokecolor="#000000" strokeweight="1.0199pt"/>
            </w:pict>
          </mc:Fallback>
        </mc:AlternateContent>
      </w:r>
    </w:p>
    <w:p>
      <w:pPr>
        <w:spacing w:after="0" w:line="1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(1) The Company’s U.S. federal payments were reduced by foreign tax credits and research and development credits.</w:t>
      </w:r>
    </w:p>
    <w:p>
      <w:pPr>
        <w:spacing w:after="0" w:line="23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As of June 30, 2025 and 2026, our liability for uncertain tax positions was $15.4 million and $15.2 million, respectively. The amount of unrecognized tax benefits that, if recognized, would affect the effective tax rate was $14.9 million as of June 30, 2026.</w:t>
      </w:r>
    </w:p>
    <w:p>
      <w:pPr>
        <w:spacing w:after="0" w:line="16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recognize potential interest and penalties related to income tax matters in income tax expense. As of June 30, 2026, we have accrued $ 3.2 million for interest and penalties. Our uncertain tax positions are related to tax years that remain subject to examination by the relevant tax authorities. These include fiscal years after 2022 for federal purposes, fiscal years after 2021 for state purposes and fiscal years after 2018 for various foreign jurisdictions. Future developments, such as the settlement of income tax positions or the expiration of applicable statutes of limitation, could result in changes to our liability for unrecognized tax benefits.</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800"/>
          </w:cols>
          <w:pgMar w:left="540" w:top="846" w:right="540" w:bottom="7" w:gutter="0" w:footer="0" w:header="0"/>
          <w:type w:val="continuous"/>
        </w:sectPr>
      </w:pPr>
    </w:p>
    <w:bookmarkStart w:id="98" w:name="page99"/>
    <w:bookmarkEnd w:id="98"/>
    <w:p>
      <w:pPr>
        <w:ind w:left="3500"/>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activity of unrecognized tax benefits for fiscal 2025 and 2026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73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at June 30, 2024</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17,914</w:t>
            </w: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1080" w:type="dxa"/>
            <w:vAlign w:val="bottom"/>
          </w:tcPr>
          <w:p>
            <w:pPr>
              <w:spacing w:after="0"/>
              <w:rPr>
                <w:sz w:val="19"/>
                <w:szCs w:val="19"/>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Additions on tax positions for the current year</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1,296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30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Additions on tax positions from prior years</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234</w:t>
            </w: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Reduction in tax positions from prior year for dispute settlements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(438)</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1080" w:type="dxa"/>
            <w:vAlign w:val="bottom"/>
          </w:tcPr>
          <w:p>
            <w:pPr>
              <w:spacing w:after="0"/>
              <w:rPr>
                <w:sz w:val="19"/>
                <w:szCs w:val="19"/>
                <w:color w:val="auto"/>
              </w:rPr>
            </w:pPr>
          </w:p>
        </w:tc>
        <w:tc>
          <w:tcPr>
            <w:tcW w:w="730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Reductions to prior year tax positions</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0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(305)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300" w:type="dxa"/>
            <w:vAlign w:val="bottom"/>
            <w:tcBorders>
              <w:bottom w:val="single" w:sz="8" w:color="E6E6E6"/>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Reduction to prior year tax positions for statute of limitations closure</w:t>
            </w:r>
          </w:p>
        </w:tc>
        <w:tc>
          <w:tcPr>
            <w:tcW w:w="3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(3,108)</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0"/>
        </w:trPr>
        <w:tc>
          <w:tcPr>
            <w:tcW w:w="1080" w:type="dxa"/>
            <w:vAlign w:val="bottom"/>
          </w:tcPr>
          <w:p>
            <w:pPr>
              <w:spacing w:after="0"/>
              <w:rPr>
                <w:sz w:val="19"/>
                <w:szCs w:val="19"/>
                <w:color w:val="auto"/>
              </w:rPr>
            </w:pPr>
          </w:p>
        </w:tc>
        <w:tc>
          <w:tcPr>
            <w:tcW w:w="730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at June 30, 2025</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6E6E6"/>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15,593</w:t>
            </w: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Additions on tax positions for the current year</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973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30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Additions on tax positions from prior years</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58</w:t>
            </w: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Reduction to prior year tax positions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1080" w:type="dxa"/>
            <w:vAlign w:val="bottom"/>
          </w:tcPr>
          <w:p>
            <w:pPr>
              <w:spacing w:after="0"/>
              <w:rPr>
                <w:sz w:val="19"/>
                <w:szCs w:val="19"/>
                <w:color w:val="auto"/>
              </w:rPr>
            </w:pPr>
          </w:p>
        </w:tc>
        <w:tc>
          <w:tcPr>
            <w:tcW w:w="730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Reduction to prior year tax positions for statute of limitations closure</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(1,668)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3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Balance at June 30, 2026</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14,912</w:t>
            </w: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78"/>
        </w:trPr>
        <w:tc>
          <w:tcPr>
            <w:tcW w:w="838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Deferred income tax assets (liabilities) consisted of the following (in thousands):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6"/>
        </w:trPr>
        <w:tc>
          <w:tcPr>
            <w:tcW w:w="10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174"/>
        </w:trPr>
        <w:tc>
          <w:tcPr>
            <w:tcW w:w="1080" w:type="dxa"/>
            <w:vAlign w:val="bottom"/>
            <w:tcBorders>
              <w:bottom w:val="single" w:sz="8" w:color="E6E6E6"/>
            </w:tcBorders>
          </w:tcPr>
          <w:p>
            <w:pPr>
              <w:spacing w:after="0"/>
              <w:rPr>
                <w:sz w:val="15"/>
                <w:szCs w:val="15"/>
                <w:color w:val="auto"/>
              </w:rPr>
            </w:pPr>
          </w:p>
        </w:tc>
        <w:tc>
          <w:tcPr>
            <w:tcW w:w="728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080" w:type="dxa"/>
            <w:vAlign w:val="bottom"/>
            <w:tcBorders>
              <w:bottom w:val="single" w:sz="8" w:color="auto"/>
            </w:tcBorders>
            <w:gridSpan w:val="4"/>
          </w:tcPr>
          <w:p>
            <w:pPr>
              <w:ind w:left="38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6E6E6"/>
            </w:tcBorders>
          </w:tcPr>
          <w:p>
            <w:pPr>
              <w:spacing w:after="0"/>
              <w:rPr>
                <w:sz w:val="15"/>
                <w:szCs w:val="15"/>
                <w:color w:val="auto"/>
              </w:rPr>
            </w:pPr>
          </w:p>
        </w:tc>
        <w:tc>
          <w:tcPr>
            <w:tcW w:w="40" w:type="dxa"/>
            <w:vAlign w:val="bottom"/>
            <w:tcBorders>
              <w:bottom w:val="single" w:sz="8" w:color="E6E6E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8380" w:type="dxa"/>
            <w:vAlign w:val="bottom"/>
            <w:gridSpan w:val="3"/>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assets:</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r>
      <w:tr>
        <w:trPr>
          <w:trHeight w:val="230"/>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Tax credit carryforwards</w:t>
            </w:r>
          </w:p>
        </w:tc>
        <w:tc>
          <w:tcPr>
            <w:tcW w:w="34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6,768</w:t>
            </w:r>
          </w:p>
        </w:tc>
      </w:tr>
      <w:tr>
        <w:trPr>
          <w:trHeight w:val="229"/>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240" w:type="dxa"/>
            <w:vAlign w:val="bottom"/>
            <w:shd w:val="clear" w:color="auto" w:fill="E6E6E6"/>
          </w:tcPr>
          <w:p>
            <w:pPr>
              <w:spacing w:after="0"/>
              <w:rPr>
                <w:sz w:val="19"/>
                <w:szCs w:val="19"/>
                <w:color w:val="auto"/>
              </w:rPr>
            </w:pP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3,197</w:t>
            </w:r>
          </w:p>
        </w:tc>
      </w:tr>
      <w:tr>
        <w:trPr>
          <w:trHeight w:val="230"/>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Customer advances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8,100</w:t>
            </w:r>
          </w:p>
        </w:tc>
      </w:tr>
      <w:tr>
        <w:trPr>
          <w:trHeight w:val="230"/>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3,146</w:t>
            </w:r>
          </w:p>
        </w:tc>
        <w:tc>
          <w:tcPr>
            <w:tcW w:w="240" w:type="dxa"/>
            <w:vAlign w:val="bottom"/>
            <w:shd w:val="clear" w:color="auto" w:fill="E6E6E6"/>
          </w:tcPr>
          <w:p>
            <w:pPr>
              <w:spacing w:after="0"/>
              <w:rPr>
                <w:sz w:val="20"/>
                <w:szCs w:val="20"/>
                <w:color w:val="auto"/>
              </w:rPr>
            </w:pP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3,560</w:t>
            </w:r>
          </w:p>
        </w:tc>
      </w:tr>
      <w:tr>
        <w:trPr>
          <w:trHeight w:val="229"/>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Inventory reserve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14,636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14,435</w:t>
            </w:r>
          </w:p>
        </w:tc>
      </w:tr>
      <w:tr>
        <w:trPr>
          <w:trHeight w:val="230"/>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Accrued liabilities</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3,209</w:t>
            </w:r>
          </w:p>
        </w:tc>
        <w:tc>
          <w:tcPr>
            <w:tcW w:w="240" w:type="dxa"/>
            <w:vAlign w:val="bottom"/>
            <w:shd w:val="clear" w:color="auto" w:fill="E6E6E6"/>
          </w:tcPr>
          <w:p>
            <w:pPr>
              <w:spacing w:after="0"/>
              <w:rPr>
                <w:sz w:val="20"/>
                <w:szCs w:val="20"/>
                <w:color w:val="auto"/>
              </w:rPr>
            </w:pP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4,200</w:t>
            </w:r>
          </w:p>
        </w:tc>
      </w:tr>
      <w:tr>
        <w:trPr>
          <w:trHeight w:val="230"/>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8,946</w:t>
            </w:r>
          </w:p>
        </w:tc>
      </w:tr>
      <w:tr>
        <w:trPr>
          <w:trHeight w:val="229"/>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Stock and deferred compensation</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8"/>
              </w:rPr>
              <w:t>14,504</w:t>
            </w:r>
          </w:p>
        </w:tc>
        <w:tc>
          <w:tcPr>
            <w:tcW w:w="240" w:type="dxa"/>
            <w:vAlign w:val="bottom"/>
            <w:shd w:val="clear" w:color="auto" w:fill="E6E6E6"/>
          </w:tcPr>
          <w:p>
            <w:pPr>
              <w:spacing w:after="0"/>
              <w:rPr>
                <w:sz w:val="19"/>
                <w:szCs w:val="19"/>
                <w:color w:val="auto"/>
              </w:rPr>
            </w:pP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16,816</w:t>
            </w:r>
          </w:p>
        </w:tc>
      </w:tr>
      <w:tr>
        <w:trPr>
          <w:trHeight w:val="230"/>
        </w:trPr>
        <w:tc>
          <w:tcPr>
            <w:tcW w:w="8380" w:type="dxa"/>
            <w:vAlign w:val="bottom"/>
            <w:tcBorders>
              <w:bottom w:val="single" w:sz="8" w:color="E6E6E6"/>
            </w:tcBorders>
            <w:gridSpan w:val="3"/>
          </w:tcPr>
          <w:p>
            <w:pPr>
              <w:ind w:left="120"/>
              <w:spacing w:after="0"/>
              <w:rPr>
                <w:sz w:val="20"/>
                <w:szCs w:val="20"/>
                <w:color w:val="auto"/>
              </w:rPr>
            </w:pPr>
            <w:r>
              <w:rPr>
                <w:rFonts w:ascii="Times New Roman" w:cs="Times New Roman" w:eastAsia="Times New Roman" w:hAnsi="Times New Roman"/>
                <w:sz w:val="20"/>
                <w:szCs w:val="20"/>
                <w:color w:val="auto"/>
              </w:rPr>
              <w:t>Other assets</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240" w:type="dxa"/>
            <w:vAlign w:val="bottom"/>
            <w:tcBorders>
              <w:bottom w:val="single" w:sz="8" w:color="E6E6E6"/>
            </w:tcBorders>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3,548</w:t>
            </w:r>
          </w:p>
        </w:tc>
      </w:tr>
      <w:tr>
        <w:trPr>
          <w:trHeight w:val="220"/>
        </w:trPr>
        <w:tc>
          <w:tcPr>
            <w:tcW w:w="8380" w:type="dxa"/>
            <w:vAlign w:val="bottom"/>
            <w:gridSpan w:val="3"/>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deferred income tax assets</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58,978</w:t>
            </w:r>
          </w:p>
        </w:tc>
        <w:tc>
          <w:tcPr>
            <w:tcW w:w="240" w:type="dxa"/>
            <w:vAlign w:val="bottom"/>
            <w:shd w:val="clear" w:color="auto" w:fill="E6E6E6"/>
          </w:tcPr>
          <w:p>
            <w:pPr>
              <w:spacing w:after="0"/>
              <w:rPr>
                <w:sz w:val="19"/>
                <w:szCs w:val="19"/>
                <w:color w:val="auto"/>
              </w:rPr>
            </w:pP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69,570</w:t>
            </w:r>
          </w:p>
        </w:tc>
      </w:tr>
      <w:tr>
        <w:trPr>
          <w:trHeight w:val="229"/>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Valuation allowance</w:t>
            </w:r>
          </w:p>
        </w:tc>
        <w:tc>
          <w:tcPr>
            <w:tcW w:w="13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rPr>
              <w:t>(10,471)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(11,352)</w:t>
            </w:r>
          </w:p>
        </w:tc>
      </w:tr>
      <w:tr>
        <w:trPr>
          <w:trHeight w:val="220"/>
        </w:trPr>
        <w:tc>
          <w:tcPr>
            <w:tcW w:w="8380" w:type="dxa"/>
            <w:vAlign w:val="bottom"/>
            <w:tcBorders>
              <w:top w:val="single" w:sz="8" w:color="E6E6E6"/>
            </w:tcBorders>
            <w:gridSpan w:val="3"/>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Net deferred income tax assets</w:t>
            </w:r>
          </w:p>
        </w:tc>
        <w:tc>
          <w:tcPr>
            <w:tcW w:w="340" w:type="dxa"/>
            <w:vAlign w:val="bottom"/>
            <w:tcBorders>
              <w:top w:val="single" w:sz="8" w:color="auto"/>
              <w:bottom w:val="single" w:sz="8" w:color="auto"/>
            </w:tcBorders>
            <w:shd w:val="clear" w:color="auto" w:fill="E6E6E6"/>
          </w:tcPr>
          <w:p>
            <w:pPr>
              <w:spacing w:after="0"/>
              <w:rPr>
                <w:sz w:val="19"/>
                <w:szCs w:val="19"/>
                <w:color w:val="auto"/>
              </w:rPr>
            </w:pPr>
          </w:p>
        </w:tc>
        <w:tc>
          <w:tcPr>
            <w:tcW w:w="20" w:type="dxa"/>
            <w:vAlign w:val="bottom"/>
            <w:tcBorders>
              <w:top w:val="single" w:sz="8" w:color="auto"/>
              <w:bottom w:val="single" w:sz="8" w:color="auto"/>
            </w:tcBorders>
            <w:shd w:val="clear" w:color="auto" w:fill="E6E6E6"/>
          </w:tcPr>
          <w:p>
            <w:pPr>
              <w:spacing w:after="0"/>
              <w:rPr>
                <w:sz w:val="19"/>
                <w:szCs w:val="19"/>
                <w:color w:val="auto"/>
              </w:rPr>
            </w:pPr>
          </w:p>
        </w:tc>
        <w:tc>
          <w:tcPr>
            <w:tcW w:w="100" w:type="dxa"/>
            <w:vAlign w:val="bottom"/>
            <w:tcBorders>
              <w:top w:val="single" w:sz="8" w:color="auto"/>
              <w:bottom w:val="single" w:sz="8" w:color="auto"/>
            </w:tcBorders>
            <w:shd w:val="clear" w:color="auto" w:fill="E6E6E6"/>
          </w:tcPr>
          <w:p>
            <w:pPr>
              <w:spacing w:after="0"/>
              <w:rPr>
                <w:sz w:val="19"/>
                <w:szCs w:val="19"/>
                <w:color w:val="auto"/>
              </w:rPr>
            </w:pPr>
          </w:p>
        </w:tc>
        <w:tc>
          <w:tcPr>
            <w:tcW w:w="6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48,507</w:t>
            </w:r>
          </w:p>
        </w:tc>
        <w:tc>
          <w:tcPr>
            <w:tcW w:w="24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E6E6E6"/>
              <w:right w:val="single" w:sz="8" w:color="E6E6E6"/>
            </w:tcBorders>
            <w:shd w:val="clear" w:color="auto" w:fill="E6E6E6"/>
          </w:tcPr>
          <w:p>
            <w:pPr>
              <w:spacing w:after="0"/>
              <w:rPr>
                <w:sz w:val="19"/>
                <w:szCs w:val="19"/>
                <w:color w:val="auto"/>
              </w:rPr>
            </w:pPr>
          </w:p>
        </w:tc>
        <w:tc>
          <w:tcPr>
            <w:tcW w:w="240" w:type="dxa"/>
            <w:vAlign w:val="bottom"/>
            <w:tcBorders>
              <w:top w:val="single" w:sz="8" w:color="auto"/>
              <w:bottom w:val="single" w:sz="8" w:color="auto"/>
            </w:tcBorders>
            <w:shd w:val="clear" w:color="auto" w:fill="E6E6E6"/>
          </w:tcPr>
          <w:p>
            <w:pPr>
              <w:spacing w:after="0"/>
              <w:rPr>
                <w:sz w:val="19"/>
                <w:szCs w:val="19"/>
                <w:color w:val="auto"/>
              </w:rPr>
            </w:pPr>
          </w:p>
        </w:tc>
        <w:tc>
          <w:tcPr>
            <w:tcW w:w="8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58,218</w:t>
            </w:r>
          </w:p>
        </w:tc>
      </w:tr>
      <w:tr>
        <w:trPr>
          <w:trHeight w:val="220"/>
        </w:trPr>
        <w:tc>
          <w:tcPr>
            <w:tcW w:w="83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liabilities: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Depreciation</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(6,280)</w:t>
            </w: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(8,621)</w:t>
            </w:r>
          </w:p>
        </w:tc>
      </w:tr>
      <w:tr>
        <w:trPr>
          <w:trHeight w:val="230"/>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13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rPr>
              <w:t>(13,784)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(13,280)</w:t>
            </w:r>
          </w:p>
        </w:tc>
      </w:tr>
      <w:tr>
        <w:trPr>
          <w:trHeight w:val="229"/>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Withholding tax on unrepatriated foreign earnings</w:t>
            </w:r>
          </w:p>
        </w:tc>
        <w:tc>
          <w:tcPr>
            <w:tcW w:w="3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8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(8,496)</w:t>
            </w:r>
          </w:p>
        </w:tc>
        <w:tc>
          <w:tcPr>
            <w:tcW w:w="40" w:type="dxa"/>
            <w:vAlign w:val="bottom"/>
            <w:tcBorders>
              <w:right w:val="single" w:sz="8" w:color="E6E6E6"/>
            </w:tcBorders>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(9,266)</w:t>
            </w:r>
          </w:p>
        </w:tc>
      </w:tr>
      <w:tr>
        <w:trPr>
          <w:trHeight w:val="230"/>
        </w:trPr>
        <w:tc>
          <w:tcPr>
            <w:tcW w:w="8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Operating lease ROU assets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(5,482)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(8,752)</w:t>
            </w:r>
          </w:p>
        </w:tc>
      </w:tr>
      <w:tr>
        <w:trPr>
          <w:trHeight w:val="230"/>
        </w:trPr>
        <w:tc>
          <w:tcPr>
            <w:tcW w:w="838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liabilities</w:t>
            </w:r>
          </w:p>
        </w:tc>
        <w:tc>
          <w:tcPr>
            <w:tcW w:w="3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(3,604)</w:t>
            </w:r>
          </w:p>
        </w:tc>
        <w:tc>
          <w:tcPr>
            <w:tcW w:w="40" w:type="dxa"/>
            <w:vAlign w:val="bottom"/>
            <w:tcBorders>
              <w:right w:val="single" w:sz="8" w:color="E6E6E6"/>
            </w:tcBorders>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(3,842)</w:t>
            </w:r>
          </w:p>
        </w:tc>
      </w:tr>
      <w:tr>
        <w:trPr>
          <w:trHeight w:val="220"/>
        </w:trPr>
        <w:tc>
          <w:tcPr>
            <w:tcW w:w="8380" w:type="dxa"/>
            <w:vAlign w:val="bottom"/>
            <w:tcBorders>
              <w:bottom w:val="single" w:sz="8" w:color="E6E6E6"/>
            </w:tcBorders>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deferred income tax liabilities</w:t>
            </w:r>
          </w:p>
        </w:tc>
        <w:tc>
          <w:tcPr>
            <w:tcW w:w="1080" w:type="dxa"/>
            <w:vAlign w:val="bottom"/>
            <w:tcBorders>
              <w:top w:val="single" w:sz="8" w:color="auto"/>
              <w:bottom w:val="single" w:sz="8" w:color="auto"/>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(37,646)</w:t>
            </w:r>
          </w:p>
        </w:tc>
        <w:tc>
          <w:tcPr>
            <w:tcW w:w="24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(43,761)</w:t>
            </w:r>
          </w:p>
        </w:tc>
      </w:tr>
      <w:tr>
        <w:trPr>
          <w:trHeight w:val="230"/>
        </w:trPr>
        <w:tc>
          <w:tcPr>
            <w:tcW w:w="8360" w:type="dxa"/>
            <w:vAlign w:val="bottom"/>
            <w:gridSpan w:val="2"/>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Net deferred income tax assets</w:t>
            </w:r>
          </w:p>
        </w:tc>
        <w:tc>
          <w:tcPr>
            <w:tcW w:w="20" w:type="dxa"/>
            <w:vAlign w:val="bottom"/>
            <w:tcBorders>
              <w:bottom w:val="single" w:sz="8" w:color="auto"/>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jc w:val="right"/>
              <w:ind w:right="143"/>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shd w:val="clear" w:color="auto" w:fill="E6E6E6"/>
          </w:tcPr>
          <w:p>
            <w:pPr>
              <w:spacing w:after="0"/>
              <w:rPr>
                <w:sz w:val="20"/>
                <w:szCs w:val="20"/>
                <w:color w:val="auto"/>
              </w:rPr>
            </w:pPr>
          </w:p>
        </w:tc>
        <w:tc>
          <w:tcPr>
            <w:tcW w:w="100" w:type="dxa"/>
            <w:vAlign w:val="bottom"/>
            <w:tcBorders>
              <w:bottom w:val="single" w:sz="8" w:color="auto"/>
            </w:tcBorders>
            <w:shd w:val="clear" w:color="auto" w:fill="E6E6E6"/>
          </w:tcPr>
          <w:p>
            <w:pPr>
              <w:spacing w:after="0"/>
              <w:rPr>
                <w:sz w:val="20"/>
                <w:szCs w:val="20"/>
                <w:color w:val="auto"/>
              </w:rPr>
            </w:pPr>
          </w:p>
        </w:tc>
        <w:tc>
          <w:tcPr>
            <w:tcW w:w="62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10,861</w:t>
            </w:r>
          </w:p>
        </w:tc>
        <w:tc>
          <w:tcPr>
            <w:tcW w:w="240" w:type="dxa"/>
            <w:vAlign w:val="bottom"/>
            <w:shd w:val="clear" w:color="auto" w:fill="E6E6E6"/>
          </w:tcPr>
          <w:p>
            <w:pPr>
              <w:spacing w:after="0"/>
              <w:rPr>
                <w:sz w:val="20"/>
                <w:szCs w:val="20"/>
                <w:color w:val="auto"/>
              </w:rPr>
            </w:pPr>
          </w:p>
        </w:tc>
        <w:tc>
          <w:tcPr>
            <w:tcW w:w="40" w:type="dxa"/>
            <w:vAlign w:val="bottom"/>
            <w:tcBorders>
              <w:bottom w:val="single" w:sz="8" w:color="auto"/>
              <w:right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14,457</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components of the net deferred income tax asset are classified in the consolidated balance sheets as follows (in thousands):</w:t>
      </w:r>
    </w:p>
    <w:p>
      <w:pPr>
        <w:spacing w:after="0" w:line="261"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Borders>
              <w:bottom w:val="single" w:sz="8" w:color="auto"/>
            </w:tcBorders>
          </w:tcPr>
          <w:p>
            <w:pPr>
              <w:spacing w:after="0"/>
              <w:rPr>
                <w:sz w:val="17"/>
                <w:szCs w:val="17"/>
                <w:color w:val="auto"/>
              </w:rPr>
            </w:pPr>
          </w:p>
        </w:tc>
      </w:tr>
      <w:tr>
        <w:trPr>
          <w:trHeight w:val="173"/>
        </w:trPr>
        <w:tc>
          <w:tcPr>
            <w:tcW w:w="668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5"/>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670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Long term deferred income tax asset, included in other assets</w:t>
            </w:r>
          </w:p>
        </w:tc>
        <w:tc>
          <w:tcPr>
            <w:tcW w:w="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14,195</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19,920</w:t>
            </w:r>
          </w:p>
        </w:tc>
      </w:tr>
      <w:tr>
        <w:trPr>
          <w:trHeight w:val="23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 term deferred income tax liability</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(3,334)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(5,463)</w:t>
            </w:r>
          </w:p>
        </w:tc>
      </w:tr>
      <w:tr>
        <w:trPr>
          <w:trHeight w:val="230"/>
        </w:trPr>
        <w:tc>
          <w:tcPr>
            <w:tcW w:w="6680" w:type="dxa"/>
            <w:vAlign w:val="bottom"/>
            <w:tcBorders>
              <w:top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Net deferred income tax assets</w:t>
            </w: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10,861</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20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14,457</w:t>
            </w: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800"/>
          </w:cols>
          <w:pgMar w:left="540" w:top="846" w:right="540" w:bottom="7" w:gutter="0" w:footer="0" w:header="0"/>
          <w:type w:val="continuous"/>
        </w:sectPr>
      </w:pPr>
    </w:p>
    <w:bookmarkStart w:id="99" w:name="page100"/>
    <w:bookmarkEnd w:id="99"/>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components of current taxes receivable and payable and prepaid taxes are classified in the consolidated balance sheets as follows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70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6E6E6"/>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70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Current taxes receivable and prepaid taxes, included in prepaid expenses</w:t>
            </w: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22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right w:val="single" w:sz="8" w:color="E6E6E6"/>
            </w:tcBorders>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and other current assets</w:t>
            </w: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10,958</w:t>
            </w:r>
          </w:p>
        </w:tc>
        <w:tc>
          <w:tcPr>
            <w:tcW w:w="22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16,352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Current taxes payable, included in other accrued expenses and current liabilities</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(22,285)</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(23,266)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right w:val="single" w:sz="8" w:color="E6E6E6"/>
            </w:tcBorders>
            <w:vMerge w:val="restart"/>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tax payable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E6E6E6"/>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tcBorders>
              <w:right w:val="single" w:sz="8" w:color="E6E6E6"/>
            </w:tcBorders>
            <w:vMerge w:val="continue"/>
            <w:shd w:val="clear" w:color="auto" w:fill="E6E6E6"/>
          </w:tcPr>
          <w:p>
            <w:pPr>
              <w:spacing w:after="0"/>
              <w:rPr>
                <w:sz w:val="19"/>
                <w:szCs w:val="19"/>
                <w:color w:val="auto"/>
              </w:rPr>
            </w:pPr>
          </w:p>
        </w:tc>
        <w:tc>
          <w:tcPr>
            <w:tcW w:w="14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right w:val="single" w:sz="8" w:color="E6E6E6"/>
            </w:tcBorders>
            <w:gridSpan w:val="2"/>
            <w:shd w:val="clear" w:color="auto" w:fill="E6E6E6"/>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(11,327)</w:t>
            </w:r>
          </w:p>
        </w:tc>
        <w:tc>
          <w:tcPr>
            <w:tcW w:w="16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(6,914)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7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June 30, 2026, we had federal, state and foreign net operating losses carryforwards of approximately $0.3 million, $17.2 million and $7.7 million, respectively. Our net operating loss carryforwards will begin to expire in the tax year ending June 30, 2028. As of June 30, 2026, we had federal and state tax credit carryforwards of approximately $3.8 million and $6.8 million, respectively. Our credit carryforwards will begin to expire in the tax year ending June 30, 2032.</w:t>
      </w:r>
    </w:p>
    <w:p>
      <w:pPr>
        <w:spacing w:after="0" w:line="19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established valuation allowances that relate to the net operating losses of certain subsidiaries, capital losses, and tax credits. During the year ended June 30, 2026, we recorded an aggregate net increase of $0.9 million to these valuation allowances. We evaluate the need for valuation allowances on a jurisdiction-by-jurisdiction basis and release such allowances when sufficient positive evidence exists to conclude that it is more likely than not that the deferred tax assets will be realized.</w:t>
      </w:r>
    </w:p>
    <w:p>
      <w:pPr>
        <w:spacing w:after="0" w:line="19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recognized all excess tax benefits and tax deficiencies related to equity-based compensation as a component of income tax expense or benefit in the period in which they occur, in accordance with ASC 718. An income tax benefit of approximately $1.7 and $2.1 million was recognized in fiscal 2025 and 2026, respectively.</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consolidated effective income tax rate differs from the federal statutory income tax rate due primarily to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74"/>
        </w:trPr>
        <w:tc>
          <w:tcPr>
            <w:tcW w:w="822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r>
      <w:tr>
        <w:trPr>
          <w:trHeight w:val="220"/>
        </w:trPr>
        <w:tc>
          <w:tcPr>
            <w:tcW w:w="824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Provision for income taxes at federal statutory rate</w:t>
            </w:r>
          </w:p>
        </w:tc>
        <w:tc>
          <w:tcPr>
            <w:tcW w:w="320" w:type="dxa"/>
            <w:vAlign w:val="bottom"/>
            <w:shd w:val="clear" w:color="auto" w:fill="E6E6E6"/>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40,477</w:t>
            </w: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84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21 %</w:t>
            </w: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tax expense, net of federal income tax benefit (1)</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60" w:type="dxa"/>
            <w:vAlign w:val="bottom"/>
          </w:tcPr>
          <w:p>
            <w:pPr>
              <w:spacing w:after="0"/>
              <w:rPr>
                <w:sz w:val="20"/>
                <w:szCs w:val="20"/>
                <w:color w:val="auto"/>
              </w:rPr>
            </w:pPr>
          </w:p>
        </w:tc>
      </w:tr>
      <w:tr>
        <w:trPr>
          <w:trHeight w:val="229"/>
        </w:trPr>
        <w:tc>
          <w:tcPr>
            <w:tcW w:w="82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32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r>
      <w:tr>
        <w:trPr>
          <w:trHeight w:val="230"/>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United Kingdom</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9"/>
        </w:trPr>
        <w:tc>
          <w:tcPr>
            <w:tcW w:w="8240" w:type="dxa"/>
            <w:vAlign w:val="bottom"/>
            <w:gridSpan w:val="2"/>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Patent box benefit</w:t>
            </w:r>
          </w:p>
        </w:tc>
        <w:tc>
          <w:tcPr>
            <w:tcW w:w="320" w:type="dxa"/>
            <w:vAlign w:val="bottom"/>
            <w:shd w:val="clear" w:color="auto" w:fill="E6E6E6"/>
          </w:tcPr>
          <w:p>
            <w:pPr>
              <w:spacing w:after="0"/>
              <w:rPr>
                <w:sz w:val="19"/>
                <w:szCs w:val="19"/>
                <w:color w:val="auto"/>
              </w:rPr>
            </w:pPr>
          </w:p>
        </w:tc>
        <w:tc>
          <w:tcPr>
            <w:tcW w:w="10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(5,435)</w:t>
            </w: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84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60" w:type="dxa"/>
            <w:vAlign w:val="bottom"/>
          </w:tcPr>
          <w:p>
            <w:pPr>
              <w:spacing w:after="0"/>
              <w:rPr>
                <w:sz w:val="20"/>
                <w:szCs w:val="20"/>
                <w:color w:val="auto"/>
              </w:rPr>
            </w:pPr>
          </w:p>
        </w:tc>
      </w:tr>
      <w:tr>
        <w:trPr>
          <w:trHeight w:val="230"/>
        </w:trPr>
        <w:tc>
          <w:tcPr>
            <w:tcW w:w="82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b w:val="1"/>
                <w:bCs w:val="1"/>
                <w:color w:val="auto"/>
              </w:rPr>
              <w:t>Other foreign jurisdictions</w:t>
            </w:r>
          </w:p>
        </w:tc>
        <w:tc>
          <w:tcPr>
            <w:tcW w:w="32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2,087</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shd w:val="clear" w:color="auto" w:fill="E6E6E6"/>
          </w:tcPr>
          <w:p>
            <w:pPr>
              <w:spacing w:after="0"/>
              <w:rPr>
                <w:sz w:val="20"/>
                <w:szCs w:val="20"/>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Effect of cross-border tax laws: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240" w:type="dxa"/>
            <w:vAlign w:val="bottom"/>
            <w:gridSpan w:val="2"/>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Foreign Derived Intangible Income (FDII) benefit</w:t>
            </w:r>
          </w:p>
        </w:tc>
        <w:tc>
          <w:tcPr>
            <w:tcW w:w="320" w:type="dxa"/>
            <w:vAlign w:val="bottom"/>
            <w:shd w:val="clear" w:color="auto" w:fill="E6E6E6"/>
          </w:tcPr>
          <w:p>
            <w:pPr>
              <w:spacing w:after="0"/>
              <w:rPr>
                <w:sz w:val="20"/>
                <w:szCs w:val="20"/>
                <w:color w:val="auto"/>
              </w:rPr>
            </w:pPr>
          </w:p>
        </w:tc>
        <w:tc>
          <w:tcPr>
            <w:tcW w:w="10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(2,973)</w:t>
            </w: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84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effects of cross-border tax laws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60" w:type="dxa"/>
            <w:vAlign w:val="bottom"/>
          </w:tcPr>
          <w:p>
            <w:pPr>
              <w:spacing w:after="0"/>
              <w:rPr>
                <w:sz w:val="20"/>
                <w:szCs w:val="20"/>
                <w:color w:val="auto"/>
              </w:rPr>
            </w:pPr>
          </w:p>
        </w:tc>
      </w:tr>
      <w:tr>
        <w:trPr>
          <w:trHeight w:val="229"/>
        </w:trPr>
        <w:tc>
          <w:tcPr>
            <w:tcW w:w="82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b w:val="1"/>
                <w:bCs w:val="1"/>
                <w:color w:val="auto"/>
              </w:rPr>
              <w:t>Tax Credits:</w:t>
            </w:r>
          </w:p>
        </w:tc>
        <w:tc>
          <w:tcPr>
            <w:tcW w:w="32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r>
      <w:tr>
        <w:trPr>
          <w:trHeight w:val="230"/>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(2,054)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82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b w:val="1"/>
                <w:bCs w:val="1"/>
                <w:color w:val="auto"/>
              </w:rPr>
              <w:t>Changes in valuation allowance</w:t>
            </w:r>
          </w:p>
        </w:tc>
        <w:tc>
          <w:tcPr>
            <w:tcW w:w="32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shd w:val="clear" w:color="auto" w:fill="E6E6E6"/>
          </w:tcPr>
          <w:p>
            <w:pPr>
              <w:spacing w:after="0"/>
              <w:rPr>
                <w:sz w:val="20"/>
                <w:szCs w:val="20"/>
                <w:color w:val="auto"/>
              </w:rPr>
            </w:pPr>
          </w:p>
        </w:tc>
      </w:tr>
      <w:tr>
        <w:trPr>
          <w:trHeight w:val="22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Nontaxable or nondeductible items: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240" w:type="dxa"/>
            <w:vAlign w:val="bottom"/>
            <w:gridSpan w:val="2"/>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Officers’ compensation</w:t>
            </w:r>
          </w:p>
        </w:tc>
        <w:tc>
          <w:tcPr>
            <w:tcW w:w="32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4,771</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60" w:type="dxa"/>
            <w:vAlign w:val="bottom"/>
            <w:shd w:val="clear" w:color="auto" w:fill="E6E6E6"/>
          </w:tcPr>
          <w:p>
            <w:pPr>
              <w:spacing w:after="0"/>
              <w:rPr>
                <w:sz w:val="20"/>
                <w:szCs w:val="20"/>
                <w:color w:val="auto"/>
              </w:rPr>
            </w:pPr>
          </w:p>
        </w:tc>
      </w:tr>
      <w:tr>
        <w:trPr>
          <w:trHeight w:val="230"/>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(4,332)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82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Changes in unrecognized tax benefit</w:t>
            </w:r>
          </w:p>
        </w:tc>
        <w:tc>
          <w:tcPr>
            <w:tcW w:w="320" w:type="dxa"/>
            <w:vAlign w:val="bottom"/>
            <w:shd w:val="clear" w:color="auto" w:fill="E6E6E6"/>
          </w:tcPr>
          <w:p>
            <w:pPr>
              <w:spacing w:after="0"/>
              <w:rPr>
                <w:sz w:val="19"/>
                <w:szCs w:val="19"/>
                <w:color w:val="auto"/>
              </w:rPr>
            </w:pPr>
          </w:p>
        </w:tc>
        <w:tc>
          <w:tcPr>
            <w:tcW w:w="10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84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r>
      <w:tr>
        <w:trPr>
          <w:trHeight w:val="230"/>
        </w:trPr>
        <w:tc>
          <w:tcPr>
            <w:tcW w:w="822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38,035</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19.7</w:t>
            </w: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199pt"/>
            </w:pict>
          </mc:Fallback>
        </mc:AlternateConten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Massachusetts, Minnesota, New York, and Texas made up the majority (greater than 50% of the tax expense in this category).</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10800"/>
          </w:cols>
          <w:pgMar w:left="540" w:top="846" w:right="540" w:bottom="7" w:gutter="0" w:footer="0" w:header="0"/>
          <w:type w:val="continuous"/>
        </w:sectPr>
      </w:pPr>
    </w:p>
    <w:bookmarkStart w:id="100" w:name="page101"/>
    <w:bookmarkEnd w:id="100"/>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the disclosures required before adopting ASU 2023-09 and reconciles our effective tax rate with the U.S. federal tax rate:</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65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8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6E6E6"/>
            </w:tcBorders>
          </w:tcPr>
          <w:p>
            <w:pPr>
              <w:spacing w:after="0"/>
              <w:rPr>
                <w:sz w:val="17"/>
                <w:szCs w:val="17"/>
                <w:color w:val="auto"/>
              </w:rPr>
            </w:pPr>
          </w:p>
        </w:tc>
      </w:tr>
      <w:tr>
        <w:trPr>
          <w:trHeight w:val="234"/>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Provision for income taxes at federal statutory rate</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c>
          <w:tcPr>
            <w:tcW w:w="20" w:type="dxa"/>
            <w:vAlign w:val="bottom"/>
            <w:shd w:val="clear" w:color="auto" w:fill="E6E6E6"/>
          </w:tcPr>
          <w:p>
            <w:pPr>
              <w:spacing w:after="0"/>
              <w:rPr>
                <w:sz w:val="20"/>
                <w:szCs w:val="20"/>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income subject to tax at other than federal statutory rate</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60" w:type="dxa"/>
            <w:vAlign w:val="bottom"/>
            <w:shd w:val="clear" w:color="auto" w:fill="E6E6E6"/>
          </w:tcPr>
          <w:p>
            <w:pPr>
              <w:spacing w:after="0"/>
              <w:rPr>
                <w:sz w:val="20"/>
                <w:szCs w:val="20"/>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(0.9)</w:t>
            </w:r>
          </w:p>
        </w:tc>
      </w:tr>
      <w:tr>
        <w:trPr>
          <w:trHeight w:val="229"/>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Officers’ compensation</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shd w:val="clear" w:color="auto" w:fill="E6E6E6"/>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60" w:type="dxa"/>
            <w:vAlign w:val="bottom"/>
          </w:tcPr>
          <w:p>
            <w:pPr>
              <w:spacing w:after="0"/>
              <w:rPr>
                <w:sz w:val="20"/>
                <w:szCs w:val="20"/>
                <w:color w:val="auto"/>
              </w:rPr>
            </w:pPr>
          </w:p>
        </w:tc>
      </w:tr>
      <w:tr>
        <w:trPr>
          <w:trHeight w:val="230"/>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Unrecognized tax expense (benefit)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tax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19"/>
                <w:szCs w:val="19"/>
                <w:color w:val="auto"/>
              </w:rPr>
            </w:pPr>
          </w:p>
        </w:tc>
      </w:tr>
      <w:tr>
        <w:trPr>
          <w:trHeight w:val="230"/>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U.S. tax on foreign earnings</w:t>
            </w:r>
          </w:p>
        </w:tc>
        <w:tc>
          <w:tcPr>
            <w:tcW w:w="10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(0.8)</w:t>
            </w:r>
          </w:p>
        </w:tc>
        <w:tc>
          <w:tcPr>
            <w:tcW w:w="20" w:type="dxa"/>
            <w:vAlign w:val="bottom"/>
            <w:shd w:val="clear" w:color="auto" w:fill="E6E6E6"/>
          </w:tcPr>
          <w:p>
            <w:pPr>
              <w:spacing w:after="0"/>
              <w:rPr>
                <w:sz w:val="20"/>
                <w:szCs w:val="20"/>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(0.2)</w:t>
            </w: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prior year estimates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60" w:type="dxa"/>
            <w:vAlign w:val="bottom"/>
          </w:tcPr>
          <w:p>
            <w:pPr>
              <w:spacing w:after="0"/>
              <w:rPr>
                <w:sz w:val="20"/>
                <w:szCs w:val="20"/>
                <w:color w:val="auto"/>
              </w:rPr>
            </w:pPr>
          </w:p>
        </w:tc>
      </w:tr>
      <w:tr>
        <w:trPr>
          <w:trHeight w:val="229"/>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Global intangible low-taxed income, net of foreign tax credits</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60" w:type="dxa"/>
            <w:vAlign w:val="bottom"/>
            <w:shd w:val="clear" w:color="auto" w:fill="E6E6E6"/>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Derived Intangible Income Benefit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Non-taxable earnings from acquisitions</w:t>
            </w:r>
          </w:p>
        </w:tc>
        <w:tc>
          <w:tcPr>
            <w:tcW w:w="10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(0.8)</w:t>
            </w:r>
          </w:p>
        </w:tc>
        <w:tc>
          <w:tcPr>
            <w:tcW w:w="2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(0.5)</w:t>
            </w: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Patent box benefit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65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20" w:type="dxa"/>
            <w:vAlign w:val="bottom"/>
            <w:tcBorders>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provision for income taxes consists of provisions for federal, state, and foreign income taxes. We operate in an international environment with significant operations in various locations outside the U.S. Accordingly, the consolidated income tax rate is a composite rate reflecting the earnings in the various locations and the applicable rates.</w:t>
      </w:r>
    </w:p>
    <w:p>
      <w:pPr>
        <w:spacing w:after="0" w:line="175" w:lineRule="exact"/>
        <w:rPr>
          <w:sz w:val="20"/>
          <w:szCs w:val="20"/>
          <w:color w:val="auto"/>
        </w:rPr>
      </w:pPr>
    </w:p>
    <w:p>
      <w:pPr>
        <w:ind w:left="720" w:hanging="720"/>
        <w:spacing w:after="0"/>
        <w:tabs>
          <w:tab w:leader="none" w:pos="72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Acquisition-Related Contingent Obligations</w:t>
      </w:r>
      <w:r>
        <w:rPr>
          <w:rFonts w:ascii="Times New Roman" w:cs="Times New Roman" w:eastAsia="Times New Roman" w:hAnsi="Times New Roman"/>
          <w:sz w:val="20"/>
          <w:szCs w:val="20"/>
          <w:color w:val="auto"/>
        </w:rPr>
        <w:t>—Under the terms and conditions of the purchase agreements associated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acquisitions, we may be obligated to make additional payments based on the achievement of certain sales or profitability milestones through the acquired operations. For agreements that contain contingent consideration caps, the remaining maximum amount of such potential future payments was $51.9 million as of June 30, 2026.</w:t>
      </w:r>
    </w:p>
    <w:p>
      <w:pPr>
        <w:spacing w:after="0" w:line="19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projections and probabilities are used to estimate future contingent earnout payments, which are discounted back to present value to compute contingent earnout liabilities. The following table provides a roll-forward from June 30, 2025 to June 30, 2026 of the contingent consideration liability, which is included in other accrued expenses and current liabilities, and other long-term liabilities in our consolidated balance sheets (in thousands):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Beginning fair value, June 30, 2025</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19,086</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Addition of contingent earnout obligations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w:t>
            </w:r>
          </w:p>
        </w:tc>
      </w:tr>
      <w:tr>
        <w:trPr>
          <w:trHeight w:val="230"/>
        </w:trPr>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Changes in fair value for contingent earnout obligations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(10,120)</w:t>
            </w:r>
          </w:p>
        </w:tc>
      </w:tr>
      <w:tr>
        <w:trPr>
          <w:trHeight w:val="229"/>
        </w:trPr>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Payments on contingent earnout obligations</w:t>
            </w:r>
          </w:p>
        </w:tc>
        <w:tc>
          <w:tcPr>
            <w:tcW w:w="20" w:type="dxa"/>
            <w:vAlign w:val="bottom"/>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(486)</w:t>
            </w:r>
          </w:p>
        </w:tc>
      </w:tr>
      <w:tr>
        <w:trPr>
          <w:trHeight w:val="230"/>
        </w:trPr>
        <w:tc>
          <w:tcPr>
            <w:tcW w:w="75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Ending fair value, June 30, 2026</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18,112</w:t>
            </w: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10800"/>
          </w:cols>
          <w:pgMar w:left="540" w:top="846" w:right="540" w:bottom="7" w:gutter="0" w:footer="0" w:header="0"/>
          <w:type w:val="continuous"/>
        </w:sectPr>
      </w:pPr>
    </w:p>
    <w:bookmarkStart w:id="101" w:name="page102"/>
    <w:bookmarkEnd w:id="101"/>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Advances from Customers</w:t>
      </w:r>
      <w:r>
        <w:rPr>
          <w:rFonts w:ascii="Times New Roman" w:cs="Times New Roman" w:eastAsia="Times New Roman" w:hAnsi="Times New Roman"/>
          <w:sz w:val="20"/>
          <w:szCs w:val="20"/>
          <w:color w:val="auto"/>
        </w:rPr>
        <w:t>—We receive advances from customers associated with certain contracts. These advances are paid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cash by customers, and we account for these as liabilities until our contractual obligations are complete.</w:t>
      </w:r>
    </w:p>
    <w:p>
      <w:pPr>
        <w:spacing w:after="0" w:line="167"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Guarantees—</w:t>
      </w:r>
      <w:r>
        <w:rPr>
          <w:rFonts w:ascii="Times New Roman" w:cs="Times New Roman" w:eastAsia="Times New Roman" w:hAnsi="Times New Roman"/>
          <w:sz w:val="20"/>
          <w:szCs w:val="20"/>
          <w:color w:val="auto"/>
        </w:rPr>
        <w:t>We are periodically required to provide performance bonds to do business with certain customers.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arrangements are common in the industry and generally have terms ranging between one year and ten years. The bonds are provided by various bonding agencies. However, we are ultimately liable for claims that may occur against them. As of June 30, 2025 and 2026, we had a maximum financial exposure related to performance bonds of approximately $104 million and $102 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 liability for any of these arrangements has been recorded as of June 30, 2025 and 2026.</w:t>
      </w:r>
    </w:p>
    <w:p>
      <w:pPr>
        <w:spacing w:after="0" w:line="202"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Environmental Contingencies</w:t>
      </w:r>
      <w:r>
        <w:rPr>
          <w:rFonts w:ascii="Times New Roman" w:cs="Times New Roman" w:eastAsia="Times New Roman" w:hAnsi="Times New Roman"/>
          <w:sz w:val="20"/>
          <w:szCs w:val="20"/>
          <w:color w:val="auto"/>
        </w:rPr>
        <w:t>—We are subject to various environmental laws. We conduct environmental investigations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manufacturing facilities in North America, Asia-Pacific, and Europe, and, to the extent practicable, on all new properties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pacing w:after="0" w:line="193"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Indemnifications</w:t>
      </w:r>
      <w:r>
        <w:rPr>
          <w:rFonts w:ascii="Times New Roman" w:cs="Times New Roman" w:eastAsia="Times New Roman" w:hAnsi="Times New Roman"/>
          <w:sz w:val="19"/>
          <w:szCs w:val="19"/>
          <w:color w:val="auto"/>
        </w:rPr>
        <w:t>—In the normal course of business, we have agreed to indemnify certain parties with respect to certain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the limited history of prior indemnification claims and the unique facts and circumstances involved in each particular agreement. We have not recorded any liability for costs related to contingent indemnification obligations as of June 30, 2026.</w:t>
      </w:r>
    </w:p>
    <w:p>
      <w:pPr>
        <w:spacing w:after="0" w:line="187" w:lineRule="exact"/>
        <w:rPr>
          <w:sz w:val="20"/>
          <w:szCs w:val="20"/>
          <w:color w:val="auto"/>
        </w:rPr>
      </w:pPr>
    </w:p>
    <w:p>
      <w:pPr>
        <w:jc w:val="both"/>
        <w:ind w:firstLine="71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Legal Proceedings</w:t>
      </w:r>
      <w:r>
        <w:rPr>
          <w:rFonts w:ascii="Times New Roman" w:cs="Times New Roman" w:eastAsia="Times New Roman" w:hAnsi="Times New Roman"/>
          <w:sz w:val="20"/>
          <w:szCs w:val="20"/>
          <w:color w:val="auto"/>
        </w:rPr>
        <w:t>— We are involved in various other potential or actual claims and legal proceedings arising in the ordinary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1880" w:h="15480" w:orient="portrait"/>
          <w:cols w:equalWidth="0" w:num="1">
            <w:col w:w="10800"/>
          </w:cols>
          <w:pgMar w:left="540" w:top="846" w:right="540" w:bottom="7" w:gutter="0" w:footer="0" w:header="0"/>
          <w:type w:val="continuous"/>
        </w:sectPr>
      </w:pPr>
    </w:p>
    <w:bookmarkStart w:id="102" w:name="page103"/>
    <w:bookmarkEnd w:id="102"/>
    <w:p>
      <w:pPr>
        <w:jc w:val="center"/>
        <w:ind w:left="540" w:right="2140"/>
        <w:spacing w:after="0" w:line="448"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2" w:lineRule="exact"/>
        <w:rPr>
          <w:sz w:val="20"/>
          <w:szCs w:val="20"/>
          <w:color w:val="auto"/>
        </w:rPr>
      </w:pPr>
    </w:p>
    <w:p>
      <w:pPr>
        <w:ind w:left="720" w:hanging="720"/>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RELATED-PARTY TRANSACTIONS</w:t>
      </w:r>
    </w:p>
    <w:p>
      <w:pPr>
        <w:spacing w:after="0" w:line="24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In 1994, we, together with an unrelated company, formed ECIL -Rapiscan Security Products Limited, a joint venture organized under the laws of India. We own a 36% interest in the joint venture, our Executive Chairman owns a 10.5% interest, and our President and Chief Executive Officer owns a 4.5% ownership interest. Our initial investment in the joint venture was approximately $0.1 million. For each of the years ended June 30, 2024, 2025 and 2026 our equity earnings in the joint venture were not significant. We, our Executive Chairman and our and President and Chief Executive Officer collectively control less than 50% of the board of directors voting power in the joint venture. As a result, we account for the investment under the equity method of accounting. The joint venture was formed for the purpose of the manufacture, assembly, service and testing of security and inspection systems and other products. Some of our subsidiaries are suppliers to the joint venture partner, which in turn manufactures and sells the resulting products. Net sales to the joint venture partner for fiscal 2024, 2025 and 2026 were approximately $10.4 million, $6.0 million and $1.8 million, respectively. Receivables from the joint venture were $3.5 million and $1.8 million as of June 30, 2025 and 2026, respectively.</w:t>
      </w:r>
    </w:p>
    <w:p>
      <w:pPr>
        <w:spacing w:after="0" w:line="179" w:lineRule="exact"/>
        <w:rPr>
          <w:sz w:val="20"/>
          <w:szCs w:val="20"/>
          <w:color w:val="auto"/>
        </w:rPr>
      </w:pPr>
    </w:p>
    <w:p>
      <w:pPr>
        <w:ind w:right="7300"/>
        <w:spacing w:after="0" w:line="492" w:lineRule="auto"/>
        <w:tabs>
          <w:tab w:leader="none" w:pos="721"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 Employee Retirement Savings Plans</w:t>
      </w:r>
    </w:p>
    <w:p>
      <w:pPr>
        <w:spacing w:after="0" w:line="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have various qualified employee retirement savings plans. Participants can contribute certain amounts to the plans and we match a certain portion of employee contributions. We contributed approximately $7.4 million, $8.8 million and $9.5 million to the plans for the fiscal years ended June 30, 2024, 2025 and 2026,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Compensation Plan</w:t>
      </w:r>
    </w:p>
    <w:p>
      <w:pPr>
        <w:spacing w:after="0" w:line="243"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We have a deferred compensation plan, which meets the requirements for deferred compensation under Section 409A of the Internal Revenue Code. The plan provides that selected employees are eligible to defer up to 80% of their salaries and up to 100% of their bonuses. We may also make employer contributions to participant accounts in certain circumstances. The benefits under this plan are unsecured. Participants are generally eligible to receive payment of their vested benefit at the end of their elected deferral period or after termination of their employment for any reason or at a later date to comply with the restrictions of Section 409A. Discretionary company contributions and the related earnings are subject to a vesting schedule dependent upon years of service to us and, also, vest completely upon the participant’s disability or death while employed by us or immediately prior to a change of control. We made contributions of $0.7 million, $0.7 million and $0.8 million for fiscal year 2024, 2025 and 2026, respectively. As of June 30, 2026, we held assets of $55.0 million and liabilities of $53.8 million related to this plan. Assets related to this plan are included in other assets and liabilities related to this plan are included in other long-term liabilities in the consolidated balance sheets. The plan liabilities include accrued employer contributions not yet funded to the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Pension Plans</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sponsor a number of qualified and nonqualified pension plans for our employees at certain locations. In accordance with accounting standards for employee pension and postretirement benefits, we fully recognize the overfunded or underfunded status of each of our defined benefit plans as an asset or liability in the consolidated balance sheets. The asset or liability equals the difference between the fair value of the plans’ assets and their benefit obligations. The liabilities associated with underfunded plans are classified as noncurrent, except to the extent the fair value of the plans’ assets is less than the plans’ estimated benefit payments over the next 12 months. We measure our pension and postretirement benefit plans’ assets and benefit obligations as of June 30.</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1880" w:h="15480" w:orient="portrait"/>
          <w:cols w:equalWidth="0" w:num="1">
            <w:col w:w="10800"/>
          </w:cols>
          <w:pgMar w:left="540" w:top="846" w:right="540" w:bottom="7" w:gutter="0" w:footer="0" w:header="0"/>
          <w:type w:val="continuous"/>
        </w:sectPr>
      </w:pPr>
    </w:p>
    <w:bookmarkStart w:id="103" w:name="page104"/>
    <w:bookmarkEnd w:id="103"/>
    <w:p>
      <w:pPr>
        <w:ind w:left="3500"/>
        <w:spacing w:after="0"/>
        <w:rPr>
          <w:sz w:val="20"/>
          <w:szCs w:val="20"/>
          <w:color w:val="auto"/>
        </w:rPr>
      </w:pPr>
      <w:r>
        <w:rPr>
          <w:rFonts w:ascii="Times New Roman" w:cs="Times New Roman" w:eastAsia="Times New Roman" w:hAnsi="Times New Roman"/>
          <w:sz w:val="20"/>
          <w:szCs w:val="20"/>
          <w:b w:val="1"/>
          <w:bCs w:val="1"/>
          <w:color w:val="auto"/>
        </w:rPr>
        <w:t>OSI SYSTEMS, INC. AND SUBSIDIARIES</w:t>
      </w:r>
    </w:p>
    <w:p>
      <w:pPr>
        <w:spacing w:after="0" w:line="2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FOR THE THREE YEARS ENDED JUNE 30, 2026</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provides a reconciliation of the changes in the plans’ benefit obligations and fair value of assets for fiscal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2026, and a statement of the funded status as of June 30, 2025 and 2026 (in thousands):</w:t>
      </w: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670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r>
      <w:tr>
        <w:trPr>
          <w:trHeight w:val="220"/>
        </w:trPr>
        <w:tc>
          <w:tcPr>
            <w:tcW w:w="670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18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12,192</w:t>
            </w:r>
          </w:p>
        </w:tc>
        <w:tc>
          <w:tcPr>
            <w:tcW w:w="20" w:type="dxa"/>
            <w:vAlign w:val="bottom"/>
          </w:tcPr>
          <w:p>
            <w:pPr>
              <w:spacing w:after="0"/>
              <w:rPr>
                <w:sz w:val="20"/>
                <w:szCs w:val="20"/>
                <w:color w:val="auto"/>
              </w:rPr>
            </w:pPr>
          </w:p>
        </w:tc>
      </w:tr>
      <w:tr>
        <w:trPr>
          <w:trHeight w:val="229"/>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Translation adjustment</w:t>
            </w:r>
          </w:p>
        </w:tc>
        <w:tc>
          <w:tcPr>
            <w:tcW w:w="18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20" w:type="dxa"/>
            <w:vAlign w:val="bottom"/>
          </w:tcPr>
          <w:p>
            <w:pPr>
              <w:spacing w:after="0"/>
              <w:rPr>
                <w:sz w:val="20"/>
                <w:szCs w:val="20"/>
                <w:color w:val="auto"/>
              </w:rPr>
            </w:pPr>
          </w:p>
        </w:tc>
      </w:tr>
      <w:tr>
        <w:trPr>
          <w:trHeight w:val="230"/>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Service costs</w:t>
            </w:r>
          </w:p>
        </w:tc>
        <w:tc>
          <w:tcPr>
            <w:tcW w:w="180" w:type="dxa"/>
            <w:vAlign w:val="bottom"/>
            <w:shd w:val="clear" w:color="auto" w:fill="E6E6E6"/>
          </w:tcPr>
          <w:p>
            <w:pPr>
              <w:spacing w:after="0"/>
              <w:rPr>
                <w:sz w:val="20"/>
                <w:szCs w:val="20"/>
                <w:color w:val="auto"/>
              </w:rPr>
            </w:pPr>
          </w:p>
        </w:tc>
        <w:tc>
          <w:tcPr>
            <w:tcW w:w="90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20"/>
                <w:szCs w:val="20"/>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Plan amendments</w:t>
            </w:r>
          </w:p>
        </w:tc>
        <w:tc>
          <w:tcPr>
            <w:tcW w:w="1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w:t>
            </w:r>
          </w:p>
        </w:tc>
        <w:tc>
          <w:tcPr>
            <w:tcW w:w="20" w:type="dxa"/>
            <w:vAlign w:val="bottom"/>
          </w:tcPr>
          <w:p>
            <w:pPr>
              <w:spacing w:after="0"/>
              <w:rPr>
                <w:sz w:val="19"/>
                <w:szCs w:val="19"/>
                <w:color w:val="auto"/>
              </w:rPr>
            </w:pPr>
          </w:p>
        </w:tc>
      </w:tr>
      <w:tr>
        <w:trPr>
          <w:trHeight w:val="230"/>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180" w:type="dxa"/>
            <w:vAlign w:val="bottom"/>
            <w:shd w:val="clear" w:color="auto" w:fill="E6E6E6"/>
          </w:tcPr>
          <w:p>
            <w:pPr>
              <w:spacing w:after="0"/>
              <w:rPr>
                <w:sz w:val="20"/>
                <w:szCs w:val="20"/>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20"/>
                <w:szCs w:val="20"/>
                <w:color w:val="auto"/>
              </w:rPr>
            </w:pPr>
          </w:p>
        </w:tc>
      </w:tr>
      <w:tr>
        <w:trPr>
          <w:trHeight w:val="230"/>
        </w:trPr>
        <w:tc>
          <w:tcPr>
            <w:tcW w:w="67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2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(2,335)</w:t>
            </w:r>
          </w:p>
        </w:tc>
        <w:tc>
          <w:tcPr>
            <w:tcW w:w="20" w:type="dxa"/>
            <w:vAlign w:val="bottom"/>
          </w:tcPr>
          <w:p>
            <w:pPr>
              <w:spacing w:after="0"/>
              <w:rPr>
                <w:sz w:val="20"/>
                <w:szCs w:val="20"/>
                <w:color w:val="auto"/>
              </w:rPr>
            </w:pPr>
          </w:p>
        </w:tc>
      </w:tr>
      <w:tr>
        <w:trPr>
          <w:trHeight w:val="220"/>
        </w:trPr>
        <w:tc>
          <w:tcPr>
            <w:tcW w:w="670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Benefit obligation at end of year</w:t>
            </w:r>
          </w:p>
        </w:tc>
        <w:tc>
          <w:tcPr>
            <w:tcW w:w="180" w:type="dxa"/>
            <w:vAlign w:val="bottom"/>
            <w:tcBorders>
              <w:bottom w:val="single" w:sz="8" w:color="auto"/>
            </w:tcBorders>
            <w:shd w:val="clear" w:color="auto" w:fill="E6E6E6"/>
          </w:tcPr>
          <w:p>
            <w:pPr>
              <w:spacing w:after="0"/>
              <w:rPr>
                <w:sz w:val="19"/>
                <w:szCs w:val="19"/>
                <w:color w:val="auto"/>
              </w:rPr>
            </w:pPr>
          </w:p>
        </w:tc>
        <w:tc>
          <w:tcPr>
            <w:tcW w:w="6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12,192</w:t>
            </w:r>
          </w:p>
        </w:tc>
        <w:tc>
          <w:tcPr>
            <w:tcW w:w="2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16,268</w:t>
            </w:r>
          </w:p>
        </w:tc>
        <w:tc>
          <w:tcPr>
            <w:tcW w:w="20" w:type="dxa"/>
            <w:vAlign w:val="bottom"/>
          </w:tcPr>
          <w:p>
            <w:pPr>
              <w:spacing w:after="0"/>
              <w:rPr>
                <w:sz w:val="19"/>
                <w:szCs w:val="19"/>
                <w:color w:val="auto"/>
              </w:rPr>
            </w:pPr>
          </w:p>
        </w:tc>
      </w:tr>
      <w:tr>
        <w:trPr>
          <w:trHeight w:val="220"/>
        </w:trPr>
        <w:tc>
          <w:tcPr>
            <w:tcW w:w="670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Change in Plan Assets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18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7,517</w:t>
            </w: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8,540</w:t>
            </w:r>
          </w:p>
        </w:tc>
        <w:tc>
          <w:tcPr>
            <w:tcW w:w="20" w:type="dxa"/>
            <w:vAlign w:val="bottom"/>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Translation adjustment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0" w:type="dxa"/>
            <w:vAlign w:val="bottom"/>
          </w:tcPr>
          <w:p>
            <w:pPr>
              <w:spacing w:after="0"/>
              <w:rPr>
                <w:sz w:val="20"/>
                <w:szCs w:val="20"/>
                <w:color w:val="auto"/>
              </w:rPr>
            </w:pPr>
          </w:p>
        </w:tc>
      </w:tr>
      <w:tr>
        <w:trPr>
          <w:trHeight w:val="229"/>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18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20" w:type="dxa"/>
            <w:vAlign w:val="bottom"/>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Company contributions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2,130</w:t>
            </w:r>
          </w:p>
        </w:tc>
        <w:tc>
          <w:tcPr>
            <w:tcW w:w="20" w:type="dxa"/>
            <w:vAlign w:val="bottom"/>
          </w:tcPr>
          <w:p>
            <w:pPr>
              <w:spacing w:after="0"/>
              <w:rPr>
                <w:sz w:val="20"/>
                <w:szCs w:val="20"/>
                <w:color w:val="auto"/>
              </w:rPr>
            </w:pPr>
          </w:p>
        </w:tc>
      </w:tr>
      <w:tr>
        <w:trPr>
          <w:trHeight w:val="230"/>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180" w:type="dxa"/>
            <w:vAlign w:val="bottom"/>
            <w:tcBorders>
              <w:bottom w:val="single" w:sz="8" w:color="auto"/>
            </w:tcBorders>
            <w:shd w:val="clear" w:color="auto" w:fill="E6E6E6"/>
          </w:tcPr>
          <w:p>
            <w:pPr>
              <w:spacing w:after="0"/>
              <w:rPr>
                <w:sz w:val="20"/>
                <w:szCs w:val="20"/>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2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(2,299)</w:t>
            </w:r>
          </w:p>
        </w:tc>
        <w:tc>
          <w:tcPr>
            <w:tcW w:w="20" w:type="dxa"/>
            <w:vAlign w:val="bottom"/>
          </w:tcPr>
          <w:p>
            <w:pPr>
              <w:spacing w:after="0"/>
              <w:rPr>
                <w:sz w:val="20"/>
                <w:szCs w:val="20"/>
                <w:color w:val="auto"/>
              </w:rPr>
            </w:pPr>
          </w:p>
        </w:tc>
      </w:tr>
      <w:tr>
        <w:trPr>
          <w:trHeight w:val="220"/>
        </w:trPr>
        <w:tc>
          <w:tcPr>
            <w:tcW w:w="670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Fair value of plan assets at end of year</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8,540</w:t>
            </w:r>
          </w:p>
        </w:tc>
        <w:tc>
          <w:tcPr>
            <w:tcW w:w="2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9,834</w:t>
            </w:r>
          </w:p>
        </w:tc>
        <w:tc>
          <w:tcPr>
            <w:tcW w:w="20" w:type="dxa"/>
            <w:vAlign w:val="bottom"/>
          </w:tcPr>
          <w:p>
            <w:pPr>
              <w:spacing w:after="0"/>
              <w:rPr>
                <w:sz w:val="19"/>
                <w:szCs w:val="19"/>
                <w:color w:val="auto"/>
              </w:rPr>
            </w:pPr>
          </w:p>
        </w:tc>
      </w:tr>
      <w:tr>
        <w:trPr>
          <w:trHeight w:val="229"/>
        </w:trPr>
        <w:tc>
          <w:tcPr>
            <w:tcW w:w="670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Funded status and net benefit obligation amount recognized</w:t>
            </w:r>
          </w:p>
        </w:tc>
        <w:tc>
          <w:tcPr>
            <w:tcW w:w="1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w:t>
            </w:r>
          </w:p>
        </w:tc>
        <w:tc>
          <w:tcPr>
            <w:tcW w:w="22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(6,434)</w:t>
            </w:r>
          </w:p>
        </w:tc>
        <w:tc>
          <w:tcPr>
            <w:tcW w:w="20" w:type="dxa"/>
            <w:vAlign w:val="bottom"/>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Amount recognized in consolidated balance sheets consists of:</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7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benefit asset (included in other current assets)</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5,192</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6,353</w:t>
            </w:r>
          </w:p>
        </w:tc>
        <w:tc>
          <w:tcPr>
            <w:tcW w:w="20" w:type="dxa"/>
            <w:vAlign w:val="bottom"/>
          </w:tcPr>
          <w:p>
            <w:pPr>
              <w:spacing w:after="0"/>
              <w:rPr>
                <w:sz w:val="20"/>
                <w:szCs w:val="20"/>
                <w:color w:val="auto"/>
              </w:rPr>
            </w:pPr>
          </w:p>
        </w:tc>
      </w:tr>
      <w:tr>
        <w:trPr>
          <w:trHeight w:val="230"/>
        </w:trPr>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net pension liability (included in other current liabilities)</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(2,124)</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(2,146)</w:t>
            </w:r>
          </w:p>
        </w:tc>
        <w:tc>
          <w:tcPr>
            <w:tcW w:w="20" w:type="dxa"/>
            <w:vAlign w:val="bottom"/>
          </w:tcPr>
          <w:p>
            <w:pPr>
              <w:spacing w:after="0"/>
              <w:rPr>
                <w:sz w:val="20"/>
                <w:szCs w:val="20"/>
                <w:color w:val="auto"/>
              </w:rPr>
            </w:pPr>
          </w:p>
        </w:tc>
      </w:tr>
      <w:tr>
        <w:trPr>
          <w:trHeight w:val="229"/>
        </w:trPr>
        <w:tc>
          <w:tcPr>
            <w:tcW w:w="670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Net long term pension liability (included in other long-term liabilities)</w:t>
            </w:r>
          </w:p>
        </w:tc>
        <w:tc>
          <w:tcPr>
            <w:tcW w:w="18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(6,719)</w:t>
            </w: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(10,641)</w:t>
            </w:r>
          </w:p>
        </w:tc>
        <w:tc>
          <w:tcPr>
            <w:tcW w:w="20" w:type="dxa"/>
            <w:vAlign w:val="bottom"/>
          </w:tcPr>
          <w:p>
            <w:pPr>
              <w:spacing w:after="0"/>
              <w:rPr>
                <w:sz w:val="19"/>
                <w:szCs w:val="19"/>
                <w:color w:val="auto"/>
              </w:rPr>
            </w:pPr>
          </w:p>
        </w:tc>
      </w:tr>
      <w:tr>
        <w:trPr>
          <w:trHeight w:val="267"/>
        </w:trPr>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20" w:type="dxa"/>
            <w:vAlign w:val="bottom"/>
          </w:tcPr>
          <w:p>
            <w:pPr>
              <w:spacing w:after="0"/>
              <w:rPr>
                <w:sz w:val="23"/>
                <w:szCs w:val="23"/>
                <w:color w:val="auto"/>
              </w:rPr>
            </w:pPr>
          </w:p>
        </w:tc>
      </w:tr>
    </w:tbl>
    <w:p>
      <w:pPr>
        <w:spacing w:after="0" w:line="12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One of our defined benefit pension plans is considered a nonqualified plan, therefore we have funded a separate rabbi trust which comprises insurance company contracts with fair values of $9.1 million and $10.7 million as of June 30, 2025 and 2026, respectively, included in Other Assets on the consolidated balance sheets. These amounts are not included in the fair value of plan assets in the table above. In the fiscal year ended June 30, 2026, $2.1 million from the rabbi trust was used as a Company contribution to the nonqualified plan and paid during the year.</w:t>
      </w:r>
    </w:p>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the net periodic benefit costs for the fiscal years ended June 30,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59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E6E6E6"/>
            </w:tcBorders>
          </w:tcPr>
          <w:p>
            <w:pPr>
              <w:spacing w:after="0"/>
              <w:rPr>
                <w:sz w:val="17"/>
                <w:szCs w:val="17"/>
                <w:color w:val="auto"/>
              </w:rPr>
            </w:pPr>
          </w:p>
        </w:tc>
        <w:tc>
          <w:tcPr>
            <w:tcW w:w="140" w:type="dxa"/>
            <w:vAlign w:val="bottom"/>
            <w:tcBorders>
              <w:bottom w:val="single" w:sz="8" w:color="E6E6E6"/>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auto"/>
            </w:tcBorders>
          </w:tcPr>
          <w:p>
            <w:pPr>
              <w:spacing w:after="0"/>
              <w:rPr>
                <w:sz w:val="17"/>
                <w:szCs w:val="17"/>
                <w:color w:val="auto"/>
              </w:rPr>
            </w:pPr>
          </w:p>
        </w:tc>
      </w:tr>
      <w:tr>
        <w:trPr>
          <w:trHeight w:val="220"/>
        </w:trPr>
        <w:tc>
          <w:tcPr>
            <w:tcW w:w="1080" w:type="dxa"/>
            <w:vAlign w:val="bottom"/>
          </w:tcPr>
          <w:p>
            <w:pPr>
              <w:spacing w:after="0"/>
              <w:rPr>
                <w:sz w:val="19"/>
                <w:szCs w:val="19"/>
                <w:color w:val="auto"/>
              </w:rPr>
            </w:pPr>
          </w:p>
        </w:tc>
        <w:tc>
          <w:tcPr>
            <w:tcW w:w="596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Periodic Benefit Costs</w:t>
            </w:r>
          </w:p>
        </w:tc>
        <w:tc>
          <w:tcPr>
            <w:tcW w:w="160" w:type="dxa"/>
            <w:vAlign w:val="bottom"/>
            <w:shd w:val="clear" w:color="auto" w:fill="E6E6E6"/>
          </w:tcPr>
          <w:p>
            <w:pPr>
              <w:spacing w:after="0"/>
              <w:rPr>
                <w:sz w:val="19"/>
                <w:szCs w:val="19"/>
                <w:color w:val="auto"/>
              </w:rPr>
            </w:pPr>
          </w:p>
        </w:tc>
        <w:tc>
          <w:tcPr>
            <w:tcW w:w="6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599</w:t>
            </w:r>
          </w:p>
        </w:tc>
      </w:tr>
      <w:tr>
        <w:trPr>
          <w:trHeight w:val="230"/>
        </w:trPr>
        <w:tc>
          <w:tcPr>
            <w:tcW w:w="1080" w:type="dxa"/>
            <w:vAlign w:val="bottom"/>
          </w:tcPr>
          <w:p>
            <w:pPr>
              <w:spacing w:after="0"/>
              <w:rPr>
                <w:sz w:val="20"/>
                <w:szCs w:val="20"/>
                <w:color w:val="auto"/>
              </w:rPr>
            </w:pPr>
          </w:p>
        </w:tc>
        <w:tc>
          <w:tcPr>
            <w:tcW w:w="59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Service costs</w:t>
            </w:r>
          </w:p>
        </w:tc>
        <w:tc>
          <w:tcPr>
            <w:tcW w:w="160" w:type="dxa"/>
            <w:vAlign w:val="bottom"/>
            <w:shd w:val="clear" w:color="auto" w:fill="E6E6E6"/>
          </w:tcPr>
          <w:p>
            <w:pPr>
              <w:spacing w:after="0"/>
              <w:rPr>
                <w:sz w:val="20"/>
                <w:szCs w:val="20"/>
                <w:color w:val="auto"/>
              </w:rPr>
            </w:pPr>
          </w:p>
        </w:tc>
        <w:tc>
          <w:tcPr>
            <w:tcW w:w="800" w:type="dxa"/>
            <w:vAlign w:val="bottom"/>
            <w:gridSpan w:val="3"/>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680" w:type="dxa"/>
            <w:vAlign w:val="bottom"/>
            <w:gridSpan w:val="3"/>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64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134</w:t>
            </w:r>
          </w:p>
        </w:tc>
      </w:tr>
      <w:tr>
        <w:trPr>
          <w:trHeight w:val="230"/>
        </w:trPr>
        <w:tc>
          <w:tcPr>
            <w:tcW w:w="108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(719)</w:t>
            </w:r>
          </w:p>
        </w:tc>
      </w:tr>
      <w:tr>
        <w:trPr>
          <w:trHeight w:val="229"/>
        </w:trPr>
        <w:tc>
          <w:tcPr>
            <w:tcW w:w="1080" w:type="dxa"/>
            <w:vAlign w:val="bottom"/>
          </w:tcPr>
          <w:p>
            <w:pPr>
              <w:spacing w:after="0"/>
              <w:rPr>
                <w:sz w:val="19"/>
                <w:szCs w:val="19"/>
                <w:color w:val="auto"/>
              </w:rPr>
            </w:pPr>
          </w:p>
        </w:tc>
        <w:tc>
          <w:tcPr>
            <w:tcW w:w="59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Amortization of prior service costs</w:t>
            </w:r>
          </w:p>
        </w:tc>
        <w:tc>
          <w:tcPr>
            <w:tcW w:w="160" w:type="dxa"/>
            <w:vAlign w:val="bottom"/>
            <w:shd w:val="clear" w:color="auto" w:fill="E6E6E6"/>
          </w:tcPr>
          <w:p>
            <w:pPr>
              <w:spacing w:after="0"/>
              <w:rPr>
                <w:sz w:val="19"/>
                <w:szCs w:val="19"/>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548</w:t>
            </w:r>
          </w:p>
        </w:tc>
        <w:tc>
          <w:tcPr>
            <w:tcW w:w="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379</w:t>
            </w:r>
          </w:p>
        </w:tc>
        <w:tc>
          <w:tcPr>
            <w:tcW w:w="4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64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shd w:val="clear" w:color="auto" w:fill="E6E6E6"/>
              </w:rPr>
              <w:t>4,833</w:t>
            </w:r>
          </w:p>
        </w:tc>
      </w:tr>
      <w:tr>
        <w:trPr>
          <w:trHeight w:val="230"/>
        </w:trPr>
        <w:tc>
          <w:tcPr>
            <w:tcW w:w="108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Recognized actuarial loss (gain)</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1080" w:type="dxa"/>
            <w:vAlign w:val="bottom"/>
          </w:tcPr>
          <w:p>
            <w:pPr>
              <w:spacing w:after="0"/>
              <w:rPr>
                <w:sz w:val="20"/>
                <w:szCs w:val="20"/>
                <w:color w:val="auto"/>
              </w:rPr>
            </w:pPr>
          </w:p>
        </w:tc>
        <w:tc>
          <w:tcPr>
            <w:tcW w:w="594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periodic benefit cost</w:t>
            </w: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6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62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E6E6E6"/>
              </w:rPr>
              <w:t>737</w:t>
            </w:r>
          </w:p>
        </w:tc>
        <w:tc>
          <w:tcPr>
            <w:tcW w:w="1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auto"/>
            </w:tcBorders>
            <w:shd w:val="clear" w:color="auto" w:fill="E6E6E6"/>
          </w:tcPr>
          <w:p>
            <w:pPr>
              <w:spacing w:after="0"/>
              <w:rPr>
                <w:sz w:val="20"/>
                <w:szCs w:val="20"/>
                <w:color w:val="auto"/>
              </w:rPr>
            </w:pPr>
          </w:p>
        </w:tc>
        <w:tc>
          <w:tcPr>
            <w:tcW w:w="160" w:type="dxa"/>
            <w:vAlign w:val="bottom"/>
            <w:tcBorders>
              <w:top w:val="single" w:sz="8" w:color="auto"/>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600" w:type="dxa"/>
            <w:vAlign w:val="bottom"/>
            <w:tcBorders>
              <w:top w:val="single" w:sz="8" w:color="auto"/>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E6E6E6"/>
              </w:rPr>
              <w:t>242</w:t>
            </w:r>
          </w:p>
        </w:tc>
        <w:tc>
          <w:tcPr>
            <w:tcW w:w="4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bottom w:val="single" w:sz="8" w:color="auto"/>
            </w:tcBorders>
            <w:gridSpan w:val="2"/>
            <w:shd w:val="clear" w:color="auto" w:fill="E6E6E6"/>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640" w:type="dxa"/>
            <w:vAlign w:val="bottom"/>
            <w:tcBorders>
              <w:top w:val="single" w:sz="8" w:color="auto"/>
              <w:bottom w:val="single" w:sz="8" w:color="auto"/>
            </w:tcBorders>
            <w:gridSpan w:val="2"/>
            <w:shd w:val="clear" w:color="auto" w:fill="E6E6E6"/>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shd w:val="clear" w:color="auto" w:fill="E6E6E6"/>
              </w:rPr>
              <w:t>4,777</w:t>
            </w:r>
          </w:p>
        </w:tc>
      </w:tr>
      <w:tr>
        <w:trPr>
          <w:trHeight w:val="435"/>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Plan Assumptions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10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4"/>
                <w:szCs w:val="24"/>
                <w:color w:val="auto"/>
              </w:rPr>
            </w:pPr>
          </w:p>
        </w:tc>
      </w:tr>
      <w:tr>
        <w:trPr>
          <w:trHeight w:val="220"/>
        </w:trPr>
        <w:tc>
          <w:tcPr>
            <w:tcW w:w="1080" w:type="dxa"/>
            <w:vAlign w:val="bottom"/>
          </w:tcPr>
          <w:p>
            <w:pPr>
              <w:spacing w:after="0"/>
              <w:rPr>
                <w:sz w:val="19"/>
                <w:szCs w:val="19"/>
                <w:color w:val="auto"/>
              </w:rPr>
            </w:pPr>
          </w:p>
        </w:tc>
        <w:tc>
          <w:tcPr>
            <w:tcW w:w="596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Weighted average assumptions at year-end:</w:t>
            </w:r>
          </w:p>
        </w:tc>
        <w:tc>
          <w:tcPr>
            <w:tcW w:w="160" w:type="dxa"/>
            <w:vAlign w:val="bottom"/>
            <w:tcBorders>
              <w:top w:val="single" w:sz="8" w:color="E6E6E6"/>
            </w:tcBorders>
            <w:shd w:val="clear" w:color="auto" w:fill="E6E6E6"/>
          </w:tcPr>
          <w:p>
            <w:pPr>
              <w:spacing w:after="0"/>
              <w:rPr>
                <w:sz w:val="19"/>
                <w:szCs w:val="19"/>
                <w:color w:val="auto"/>
              </w:rPr>
            </w:pPr>
          </w:p>
        </w:tc>
        <w:tc>
          <w:tcPr>
            <w:tcW w:w="6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50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60" w:type="dxa"/>
            <w:vAlign w:val="bottom"/>
            <w:tcBorders>
              <w:top w:val="single" w:sz="8" w:color="auto"/>
            </w:tcBorders>
            <w:shd w:val="clear" w:color="auto" w:fill="E6E6E6"/>
          </w:tcPr>
          <w:p>
            <w:pPr>
              <w:spacing w:after="0"/>
              <w:rPr>
                <w:sz w:val="19"/>
                <w:szCs w:val="19"/>
                <w:color w:val="auto"/>
              </w:rPr>
            </w:pPr>
          </w:p>
        </w:tc>
        <w:tc>
          <w:tcPr>
            <w:tcW w:w="4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Discount rate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230"/>
        </w:trPr>
        <w:tc>
          <w:tcPr>
            <w:tcW w:w="1080" w:type="dxa"/>
            <w:vAlign w:val="bottom"/>
          </w:tcPr>
          <w:p>
            <w:pPr>
              <w:spacing w:after="0"/>
              <w:rPr>
                <w:sz w:val="20"/>
                <w:szCs w:val="20"/>
                <w:color w:val="auto"/>
              </w:rPr>
            </w:pPr>
          </w:p>
        </w:tc>
        <w:tc>
          <w:tcPr>
            <w:tcW w:w="596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160" w:type="dxa"/>
            <w:vAlign w:val="bottom"/>
            <w:shd w:val="clear" w:color="auto" w:fill="E6E6E6"/>
          </w:tcPr>
          <w:p>
            <w:pPr>
              <w:spacing w:after="0"/>
              <w:rPr>
                <w:sz w:val="20"/>
                <w:szCs w:val="20"/>
                <w:color w:val="auto"/>
              </w:rPr>
            </w:pPr>
          </w:p>
        </w:tc>
        <w:tc>
          <w:tcPr>
            <w:tcW w:w="6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7.8 %</w:t>
            </w:r>
          </w:p>
        </w:tc>
        <w:tc>
          <w:tcPr>
            <w:tcW w:w="60" w:type="dxa"/>
            <w:vAlign w:val="bottom"/>
            <w:shd w:val="clear" w:color="auto" w:fill="E6E6E6"/>
          </w:tcPr>
          <w:p>
            <w:pPr>
              <w:spacing w:after="0"/>
              <w:rPr>
                <w:sz w:val="20"/>
                <w:szCs w:val="20"/>
                <w:color w:val="auto"/>
              </w:rPr>
            </w:pPr>
          </w:p>
        </w:tc>
        <w:tc>
          <w:tcPr>
            <w:tcW w:w="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8.7 %</w:t>
            </w:r>
          </w:p>
        </w:tc>
      </w:tr>
      <w:tr>
        <w:trPr>
          <w:trHeight w:val="267"/>
        </w:trPr>
        <w:tc>
          <w:tcPr>
            <w:tcW w:w="1080" w:type="dxa"/>
            <w:vAlign w:val="bottom"/>
          </w:tcPr>
          <w:p>
            <w:pPr>
              <w:spacing w:after="0"/>
              <w:rPr>
                <w:sz w:val="23"/>
                <w:szCs w:val="23"/>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1880" w:h="15480" w:orient="portrait"/>
          <w:cols w:equalWidth="0" w:num="1">
            <w:col w:w="10800"/>
          </w:cols>
          <w:pgMar w:left="540" w:top="846" w:right="540" w:bottom="7" w:gutter="0" w:footer="0" w:header="0"/>
          <w:type w:val="continuous"/>
        </w:sectPr>
      </w:pPr>
    </w:p>
    <w:bookmarkStart w:id="104" w:name="page105"/>
    <w:bookmarkEnd w:id="104"/>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The long-term return on assets has been derived from the weighted average of assumed returns on each of the major asset categories. The weighted average is based on the actual proportion of each major asset class held, rather than a benchmark portfolio of assets. The expected returns for each major asset class have been derived from a combination of both historical market returns and current market data as well as the views of a range of investment managers. There is no assumed rate of compensation increase as most of the plan participants are retirees or no longer employed by OSI.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Assets and Investment Policy</w:t>
      </w: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3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204"/>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340" w:type="dxa"/>
            <w:vAlign w:val="bottom"/>
            <w:gridSpan w:val="4"/>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154"/>
        </w:trPr>
        <w:tc>
          <w:tcPr>
            <w:tcW w:w="3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6"/>
                <w:szCs w:val="16"/>
                <w:b w:val="1"/>
                <w:bCs w:val="1"/>
                <w:color w:val="auto"/>
                <w:w w:val="96"/>
              </w:rPr>
              <w:t>Proportion of</w:t>
            </w:r>
          </w:p>
        </w:tc>
        <w:tc>
          <w:tcPr>
            <w:tcW w:w="100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Expected Rate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160"/>
              <w:spacing w:after="0" w:line="154" w:lineRule="exact"/>
              <w:rPr>
                <w:sz w:val="20"/>
                <w:szCs w:val="20"/>
                <w:color w:val="auto"/>
              </w:rPr>
            </w:pPr>
            <w:r>
              <w:rPr>
                <w:rFonts w:ascii="Times New Roman" w:cs="Times New Roman" w:eastAsia="Times New Roman" w:hAnsi="Times New Roman"/>
                <w:sz w:val="16"/>
                <w:szCs w:val="16"/>
                <w:b w:val="1"/>
                <w:bCs w:val="1"/>
                <w:color w:val="auto"/>
                <w:w w:val="96"/>
              </w:rPr>
              <w:t>Proportion of</w:t>
            </w:r>
          </w:p>
        </w:tc>
        <w:tc>
          <w:tcPr>
            <w:tcW w:w="10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w w:val="98"/>
              </w:rPr>
              <w:t>Expected Rate</w:t>
            </w:r>
          </w:p>
        </w:tc>
        <w:tc>
          <w:tcPr>
            <w:tcW w:w="160" w:type="dxa"/>
            <w:vAlign w:val="bottom"/>
          </w:tcPr>
          <w:p>
            <w:pPr>
              <w:spacing w:after="0"/>
              <w:rPr>
                <w:sz w:val="13"/>
                <w:szCs w:val="13"/>
                <w:color w:val="auto"/>
              </w:rPr>
            </w:pPr>
          </w:p>
        </w:tc>
      </w:tr>
      <w:tr>
        <w:trPr>
          <w:trHeight w:val="204"/>
        </w:trPr>
        <w:tc>
          <w:tcPr>
            <w:tcW w:w="38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Borders>
              <w:bottom w:val="single" w:sz="8" w:color="E6E6E6"/>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Return</w:t>
            </w:r>
          </w:p>
        </w:tc>
        <w:tc>
          <w:tcPr>
            <w:tcW w:w="280" w:type="dxa"/>
            <w:vAlign w:val="bottom"/>
            <w:tcBorders>
              <w:bottom w:val="single" w:sz="8" w:color="E6E6E6"/>
            </w:tcBorders>
            <w:gridSpan w:val="2"/>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Borders>
              <w:bottom w:val="single" w:sz="8" w:color="E6E6E6"/>
            </w:tcBorders>
          </w:tcPr>
          <w:p>
            <w:pPr>
              <w:spacing w:after="0"/>
              <w:rPr>
                <w:sz w:val="17"/>
                <w:szCs w:val="17"/>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of Return</w:t>
            </w:r>
          </w:p>
        </w:tc>
        <w:tc>
          <w:tcPr>
            <w:tcW w:w="160" w:type="dxa"/>
            <w:vAlign w:val="bottom"/>
            <w:tcBorders>
              <w:bottom w:val="single" w:sz="8" w:color="E6E6E6"/>
            </w:tcBorders>
          </w:tcPr>
          <w:p>
            <w:pPr>
              <w:spacing w:after="0"/>
              <w:rPr>
                <w:sz w:val="17"/>
                <w:szCs w:val="17"/>
                <w:color w:val="auto"/>
              </w:rPr>
            </w:pPr>
          </w:p>
        </w:tc>
      </w:tr>
      <w:tr>
        <w:trPr>
          <w:trHeight w:val="220"/>
        </w:trPr>
        <w:tc>
          <w:tcPr>
            <w:tcW w:w="3840" w:type="dxa"/>
            <w:vAlign w:val="bottom"/>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Equity securities</w:t>
            </w:r>
          </w:p>
        </w:tc>
        <w:tc>
          <w:tcPr>
            <w:tcW w:w="118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87 %</w:t>
            </w:r>
          </w:p>
        </w:tc>
        <w:tc>
          <w:tcPr>
            <w:tcW w:w="1260" w:type="dxa"/>
            <w:vAlign w:val="bottom"/>
            <w:gridSpan w:val="2"/>
            <w:shd w:val="clear" w:color="auto" w:fill="E6E6E6"/>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8.7 %</w:t>
            </w:r>
          </w:p>
        </w:tc>
        <w:tc>
          <w:tcPr>
            <w:tcW w:w="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87 %</w:t>
            </w:r>
          </w:p>
        </w:tc>
        <w:tc>
          <w:tcPr>
            <w:tcW w:w="116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9.7 %</w:t>
            </w: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securities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r>
      <w:tr>
        <w:trPr>
          <w:trHeight w:val="230"/>
        </w:trPr>
        <w:tc>
          <w:tcPr>
            <w:tcW w:w="38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Cash</w:t>
            </w:r>
          </w:p>
        </w:tc>
        <w:tc>
          <w:tcPr>
            <w:tcW w:w="11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12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shd w:val="clear" w:color="auto" w:fill="E6E6E6"/>
          </w:tcPr>
          <w:p>
            <w:pPr>
              <w:spacing w:after="0"/>
              <w:rPr>
                <w:sz w:val="20"/>
                <w:szCs w:val="20"/>
                <w:color w:val="auto"/>
              </w:rPr>
            </w:pPr>
          </w:p>
        </w:tc>
        <w:tc>
          <w:tcPr>
            <w:tcW w:w="11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11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1.9 %</w:t>
            </w:r>
          </w:p>
        </w:tc>
      </w:tr>
      <w:tr>
        <w:trPr>
          <w:trHeight w:val="230"/>
        </w:trPr>
        <w:tc>
          <w:tcPr>
            <w:tcW w:w="38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Combined</w:t>
            </w: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126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7.8 %</w:t>
            </w: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11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8.7 %</w:t>
            </w:r>
          </w:p>
        </w:tc>
      </w:tr>
    </w:tbl>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defined benefit plans’ assets are invested in a range of pooled investment funds that provide access to a diverse range of asset classes. The investment objective is to maximize the investment return over the long term without exposing the fund to an unnecessary level of risk. Within this objective, it is recognized that benefits will be secured by the purchase of annuities at the time of employee retirement.</w:t>
      </w:r>
    </w:p>
    <w:p>
      <w:pPr>
        <w:spacing w:after="0" w:line="19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benchmark is to hold assets in both equity and debt securities. The proportion in each investment class is not mandated and is allowed to fluctuate with market movements. The equity holdings are maintained in balanced funds under the control of investment managers.</w:t>
      </w:r>
    </w:p>
    <w:p>
      <w:pPr>
        <w:spacing w:after="0" w:line="18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Day-to-day equities selection decisions are delegated to investment managers, although these are monitored against performance and risk targets. Due to the nature of the pooled funds, there are no significant holdings in any single company (greater than 5% of the total assets). The investment strategy is reviewed on a regular basis, based on the results of third-party liability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Projected Benefit Payments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reflects estimated benefits payments, based upon the same assumptions used to measure the benefit obligation and net pension cost, as of June 30, 2026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7420" w:type="dxa"/>
            <w:vAlign w:val="bottom"/>
            <w:tcBorders>
              <w:bottom w:val="single" w:sz="8" w:color="E6E6E6"/>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r>
      <w:tr>
        <w:trPr>
          <w:trHeight w:val="220"/>
        </w:trPr>
        <w:tc>
          <w:tcPr>
            <w:tcW w:w="74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July 1, 2026 to June 30, 2027</w:t>
            </w:r>
          </w:p>
        </w:tc>
        <w:tc>
          <w:tcPr>
            <w:tcW w:w="400" w:type="dxa"/>
            <w:vAlign w:val="bottom"/>
            <w:shd w:val="clear" w:color="auto" w:fill="E6E6E6"/>
          </w:tcPr>
          <w:p>
            <w:pPr>
              <w:jc w:val="right"/>
              <w:ind w:right="21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2,565</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July 1, 2027 to June 30, 2028</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w:t>
            </w:r>
          </w:p>
        </w:tc>
      </w:tr>
      <w:tr>
        <w:trPr>
          <w:trHeight w:val="230"/>
        </w:trPr>
        <w:tc>
          <w:tcPr>
            <w:tcW w:w="7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July 1, 2028 to June 30, 2029</w:t>
            </w:r>
          </w:p>
        </w:tc>
        <w:tc>
          <w:tcPr>
            <w:tcW w:w="4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3,889</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July 1, 2029 to June 30, 2030</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4,116</w:t>
            </w:r>
          </w:p>
        </w:tc>
      </w:tr>
      <w:tr>
        <w:trPr>
          <w:trHeight w:val="229"/>
        </w:trPr>
        <w:tc>
          <w:tcPr>
            <w:tcW w:w="7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July 1, 2030 to June 30, 2031</w:t>
            </w:r>
          </w:p>
        </w:tc>
        <w:tc>
          <w:tcPr>
            <w:tcW w:w="40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3,142</w:t>
            </w:r>
          </w:p>
        </w:tc>
      </w:tr>
      <w:tr>
        <w:trPr>
          <w:trHeight w:val="267"/>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July 1, 2031 to June 30, 2036</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Contribution</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A contribution of $2.1 million during fiscal year 2026 for the nonqualified plan was provided by the rabbi trust as described above. Future contributions for the nonqualified plan are expected to be provided by the rabbi trust.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Amendment</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In December 2025, a plan amendment was made for our former CEO resulting in $4.4 million in prior service costs amortization.</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1880" w:h="15480" w:orient="portrait"/>
          <w:cols w:equalWidth="0" w:num="1">
            <w:col w:w="10800"/>
          </w:cols>
          <w:pgMar w:left="540" w:top="846" w:right="540" w:bottom="7" w:gutter="0" w:footer="0" w:header="0"/>
          <w:type w:val="continuous"/>
        </w:sectPr>
      </w:pPr>
    </w:p>
    <w:bookmarkStart w:id="105" w:name="page106"/>
    <w:bookmarkEnd w:id="105"/>
    <w:p>
      <w:pPr>
        <w:jc w:val="center"/>
        <w:spacing w:after="0" w:line="448"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2" w:lineRule="exact"/>
        <w:rPr>
          <w:sz w:val="20"/>
          <w:szCs w:val="20"/>
          <w:color w:val="auto"/>
        </w:rPr>
      </w:pPr>
    </w:p>
    <w:p>
      <w:pPr>
        <w:ind w:left="720" w:hanging="720"/>
        <w:spacing w:after="0"/>
        <w:tabs>
          <w:tab w:leader="none" w:pos="7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43" w:lineRule="exact"/>
        <w:rPr>
          <w:sz w:val="20"/>
          <w:szCs w:val="20"/>
          <w:color w:val="auto"/>
        </w:rPr>
      </w:pPr>
    </w:p>
    <w:p>
      <w:pPr>
        <w:jc w:val="both"/>
        <w:ind w:firstLine="721"/>
        <w:spacing w:after="0" w:line="242" w:lineRule="auto"/>
        <w:rPr>
          <w:sz w:val="20"/>
          <w:szCs w:val="20"/>
          <w:color w:val="auto"/>
        </w:rPr>
      </w:pPr>
      <w:r>
        <w:rPr>
          <w:rFonts w:ascii="Times New Roman" w:cs="Times New Roman" w:eastAsia="Times New Roman" w:hAnsi="Times New Roman"/>
          <w:sz w:val="20"/>
          <w:szCs w:val="20"/>
          <w:color w:val="auto"/>
        </w:rPr>
        <w:t>We operate in three identifiable industry segments: (a) security and inspection systems (Security division), (b) optoelectronic devices and manufacturing (Optoelectronics and Manufacturing division) and (c) medical monitoring systems (Healthcare division). Factors used to identify our reportable segments primarily reflect our organizational and management structure around differences in products and industry markets. The reconciliation of segment totals to consolidated totals include intersegment eliminations and certain unallocated corporate items that include executive compensation and certain other general and administrative expenses; expenses related to stock issuances, legal, audit and other professional service fees, depreciation and amortization, and corporate assets.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Summary of Significant Accounting Policies. We disclose segment income (loss) from operations as our measure of segment profit/loss, reconciled to consolidated income (loss) from operations. The measure of segment income (loss) from operations excludes impairment, restructuring and other charges presented below which are presented to reconcile to consolidated income from operations. Segment assets represent total current and noncurrent assets for each reportable segment. Business segment disclosures consider information used by/provided to our chief operating decision maker (“CODM”). Our Chief Executive Officer serves as the CODM. The CODM uses segment assets and segment income (loss) from operations, as well as the expenses within each segment including cost of sales, selling, general and administrative expenses and research and development expenses, to allocate resources to segments in the budgeting and forecasting process along with periodic ongoing reviews of results and overall activity in the markets where each segment operates.</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1880" w:h="15480" w:orient="portrait"/>
          <w:cols w:equalWidth="0" w:num="1">
            <w:col w:w="10800"/>
          </w:cols>
          <w:pgMar w:left="540" w:top="846" w:right="540" w:bottom="7" w:gutter="0" w:footer="0" w:header="0"/>
          <w:type w:val="continuous"/>
        </w:sectPr>
      </w:pPr>
    </w:p>
    <w:bookmarkStart w:id="106" w:name="page107"/>
    <w:bookmarkEnd w:id="106"/>
    <w:p>
      <w:pPr>
        <w:jc w:val="center"/>
        <w:spacing w:after="0" w:line="450"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tables present our results of operations and identifiable assets by our three industry segments, along with amounts for intersegment eliminations and unallocated corporate items, which are reconciled to consolidated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Optoelectronics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0"/>
        </w:trPr>
        <w:tc>
          <w:tcPr>
            <w:tcW w:w="298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Revenues:</w:t>
            </w: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External customer revenue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1,043,073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1,538,758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1,538,758</w:t>
            </w: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Intersegment revenue</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60,018</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60,018</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(60,018)</w:t>
            </w:r>
          </w:p>
        </w:tc>
        <w:tc>
          <w:tcPr>
            <w:tcW w:w="120" w:type="dxa"/>
            <w:vAlign w:val="bottom"/>
            <w:shd w:val="clear" w:color="auto" w:fill="E6E6E6"/>
          </w:tcPr>
          <w:p>
            <w:pPr>
              <w:spacing w:after="0"/>
              <w:rPr>
                <w:sz w:val="20"/>
                <w:szCs w:val="20"/>
                <w:color w:val="auto"/>
              </w:rPr>
            </w:pPr>
          </w:p>
        </w:tc>
        <w:tc>
          <w:tcPr>
            <w:tcW w:w="88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298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1,043,073</w:t>
            </w:r>
          </w:p>
        </w:tc>
        <w:tc>
          <w:tcPr>
            <w:tcW w:w="16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384,268</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171,435</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1,598,776</w:t>
            </w:r>
          </w:p>
        </w:tc>
        <w:tc>
          <w:tcPr>
            <w:tcW w:w="16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(60,018)</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1,538,758</w:t>
            </w:r>
          </w:p>
        </w:tc>
        <w:tc>
          <w:tcPr>
            <w:tcW w:w="0" w:type="dxa"/>
            <w:vAlign w:val="bottom"/>
          </w:tcPr>
          <w:p>
            <w:pPr>
              <w:spacing w:after="0"/>
              <w:rPr>
                <w:sz w:val="1"/>
                <w:szCs w:val="1"/>
                <w:color w:val="auto"/>
              </w:rPr>
            </w:pPr>
          </w:p>
        </w:tc>
      </w:tr>
      <w:tr>
        <w:trPr>
          <w:trHeight w:val="220"/>
        </w:trPr>
        <w:tc>
          <w:tcPr>
            <w:tcW w:w="298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Cost of goods sold</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681,531</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299,147</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86,917</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1,067,595</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gridSpan w:val="2"/>
            <w:shd w:val="clear" w:color="auto" w:fill="E6E6E6"/>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(59,295)</w:t>
            </w: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1,008,300</w:t>
            </w: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269,731</w:t>
            </w:r>
          </w:p>
        </w:tc>
        <w:tc>
          <w:tcPr>
            <w:tcW w:w="0" w:type="dxa"/>
            <w:vAlign w:val="bottom"/>
          </w:tcPr>
          <w:p>
            <w:pPr>
              <w:spacing w:after="0"/>
              <w:rPr>
                <w:sz w:val="1"/>
                <w:szCs w:val="1"/>
                <w:color w:val="auto"/>
              </w:rPr>
            </w:pPr>
          </w:p>
        </w:tc>
      </w:tr>
      <w:tr>
        <w:trPr>
          <w:trHeight w:val="25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134,401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33,608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60,767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228,776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43,196</w:t>
            </w:r>
          </w:p>
        </w:tc>
        <w:tc>
          <w:tcPr>
            <w:tcW w:w="160" w:type="dxa"/>
            <w:vAlign w:val="bottom"/>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5,151</w:t>
            </w:r>
          </w:p>
        </w:tc>
        <w:tc>
          <w:tcPr>
            <w:tcW w:w="16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16,928</w:t>
            </w:r>
          </w:p>
        </w:tc>
        <w:tc>
          <w:tcPr>
            <w:tcW w:w="16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65,275</w:t>
            </w:r>
          </w:p>
        </w:tc>
        <w:tc>
          <w:tcPr>
            <w:tcW w:w="160" w:type="dxa"/>
            <w:vAlign w:val="bottom"/>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65,275</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Segment income from operations</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183,945</w:t>
            </w:r>
          </w:p>
        </w:tc>
        <w:tc>
          <w:tcPr>
            <w:tcW w:w="1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46,362</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6,823</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237,130</w:t>
            </w:r>
          </w:p>
        </w:tc>
        <w:tc>
          <w:tcPr>
            <w:tcW w:w="1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(723)</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(40,955)</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195,452</w:t>
            </w: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spacing w:after="0"/>
              <w:rPr>
                <w:sz w:val="20"/>
                <w:szCs w:val="20"/>
                <w:color w:val="auto"/>
              </w:rPr>
            </w:pPr>
          </w:p>
        </w:tc>
        <w:tc>
          <w:tcPr>
            <w:tcW w:w="900" w:type="dxa"/>
            <w:vAlign w:val="bottom"/>
            <w:gridSpan w:val="2"/>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Segment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1,333,259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288,629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1,876,981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59,027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1,936,008</w:t>
            </w:r>
          </w:p>
        </w:tc>
        <w:tc>
          <w:tcPr>
            <w:tcW w:w="0" w:type="dxa"/>
            <w:vAlign w:val="bottom"/>
          </w:tcPr>
          <w:p>
            <w:pPr>
              <w:spacing w:after="0"/>
              <w:rPr>
                <w:sz w:val="1"/>
                <w:szCs w:val="1"/>
                <w:color w:val="auto"/>
              </w:rPr>
            </w:pPr>
          </w:p>
        </w:tc>
      </w:tr>
      <w:tr>
        <w:trPr>
          <w:trHeight w:val="29"/>
        </w:trPr>
        <w:tc>
          <w:tcPr>
            <w:tcW w:w="2980" w:type="dxa"/>
            <w:vAlign w:val="bottom"/>
            <w:shd w:val="clear" w:color="auto" w:fill="E6E6E6"/>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E6E6E6"/>
            </w:tcBorders>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Capital expenditures</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11,997</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3,219</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19,223</w:t>
            </w:r>
          </w:p>
        </w:tc>
        <w:tc>
          <w:tcPr>
            <w:tcW w:w="3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2,879</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22,102</w:t>
            </w:r>
          </w:p>
        </w:tc>
        <w:tc>
          <w:tcPr>
            <w:tcW w:w="0" w:type="dxa"/>
            <w:vAlign w:val="bottom"/>
          </w:tcPr>
          <w:p>
            <w:pPr>
              <w:spacing w:after="0"/>
              <w:rPr>
                <w:sz w:val="1"/>
                <w:szCs w:val="1"/>
                <w:color w:val="auto"/>
              </w:rPr>
            </w:pPr>
          </w:p>
        </w:tc>
      </w:tr>
      <w:tr>
        <w:trPr>
          <w:trHeight w:val="239"/>
        </w:trPr>
        <w:tc>
          <w:tcPr>
            <w:tcW w:w="29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25,831</w:t>
            </w:r>
          </w:p>
        </w:tc>
        <w:tc>
          <w:tcPr>
            <w:tcW w:w="16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9,040</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5,794</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40,665</w:t>
            </w:r>
          </w:p>
        </w:tc>
        <w:tc>
          <w:tcPr>
            <w:tcW w:w="16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42,209</w:t>
            </w:r>
          </w:p>
        </w:tc>
        <w:tc>
          <w:tcPr>
            <w:tcW w:w="0" w:type="dxa"/>
            <w:vAlign w:val="bottom"/>
          </w:tcPr>
          <w:p>
            <w:pPr>
              <w:spacing w:after="0"/>
              <w:rPr>
                <w:sz w:val="1"/>
                <w:szCs w:val="1"/>
                <w:color w:val="auto"/>
              </w:rPr>
            </w:pPr>
          </w:p>
        </w:tc>
      </w:tr>
      <w:tr>
        <w:trPr>
          <w:trHeight w:val="232"/>
        </w:trPr>
        <w:tc>
          <w:tcPr>
            <w:tcW w:w="29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Reconciliation to consolidated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from operations – Fiscal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w w:val="99"/>
              </w:rPr>
              <w:t>Consolidated segment income from</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195,452</w:t>
            </w: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09" w:lineRule="exact"/>
              <w:rPr>
                <w:sz w:val="20"/>
                <w:szCs w:val="20"/>
                <w:color w:val="auto"/>
              </w:rPr>
            </w:pPr>
            <w:r>
              <w:rPr>
                <w:rFonts w:ascii="Times New Roman" w:cs="Times New Roman" w:eastAsia="Times New Roman" w:hAnsi="Times New Roman"/>
                <w:sz w:val="20"/>
                <w:szCs w:val="20"/>
                <w:color w:val="auto"/>
              </w:rPr>
              <w:t>Impairment, restructuring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7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(6,391)</w:t>
            </w:r>
          </w:p>
        </w:tc>
        <w:tc>
          <w:tcPr>
            <w:tcW w:w="0" w:type="dxa"/>
            <w:vAlign w:val="bottom"/>
          </w:tcPr>
          <w:p>
            <w:pPr>
              <w:spacing w:after="0"/>
              <w:rPr>
                <w:sz w:val="1"/>
                <w:szCs w:val="1"/>
                <w:color w:val="auto"/>
              </w:rPr>
            </w:pPr>
          </w:p>
        </w:tc>
      </w:tr>
      <w:tr>
        <w:trPr>
          <w:trHeight w:val="220"/>
        </w:trPr>
        <w:tc>
          <w:tcPr>
            <w:tcW w:w="298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Consolidated income from</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189,061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1880" w:h="15480" w:orient="portrait"/>
          <w:cols w:equalWidth="0" w:num="1">
            <w:col w:w="10800"/>
          </w:cols>
          <w:pgMar w:left="540" w:top="846" w:right="540" w:bottom="7" w:gutter="0" w:footer="0" w:header="0"/>
          <w:type w:val="continuous"/>
        </w:sectPr>
      </w:pPr>
    </w:p>
    <w:bookmarkStart w:id="107" w:name="page108"/>
    <w:bookmarkEnd w:id="107"/>
    <w:p>
      <w:pPr>
        <w:jc w:val="center"/>
        <w:spacing w:after="0" w:line="457"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Optoelectronics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0"/>
        </w:trPr>
        <w:tc>
          <w:tcPr>
            <w:tcW w:w="298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Revenues:</w:t>
            </w: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External customer revenue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1,196,180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348,624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1,713,166</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1,713,166</w:t>
            </w: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Intersegment revenue</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63,441</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63,441</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(63,441)</w:t>
            </w:r>
          </w:p>
        </w:tc>
        <w:tc>
          <w:tcPr>
            <w:tcW w:w="120" w:type="dxa"/>
            <w:vAlign w:val="bottom"/>
            <w:shd w:val="clear" w:color="auto" w:fill="E6E6E6"/>
          </w:tcPr>
          <w:p>
            <w:pPr>
              <w:spacing w:after="0"/>
              <w:rPr>
                <w:sz w:val="20"/>
                <w:szCs w:val="20"/>
                <w:color w:val="auto"/>
              </w:rPr>
            </w:pPr>
          </w:p>
        </w:tc>
        <w:tc>
          <w:tcPr>
            <w:tcW w:w="880" w:type="dxa"/>
            <w:vAlign w:val="bottom"/>
            <w:tcBorders>
              <w:right w:val="single" w:sz="8" w:color="E6E6E6"/>
            </w:tcBorders>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298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1,196,180</w:t>
            </w:r>
          </w:p>
        </w:tc>
        <w:tc>
          <w:tcPr>
            <w:tcW w:w="16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412,065</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168,362</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1,776,607</w:t>
            </w:r>
          </w:p>
        </w:tc>
        <w:tc>
          <w:tcPr>
            <w:tcW w:w="16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(63,441)</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1,713,166</w:t>
            </w:r>
          </w:p>
        </w:tc>
        <w:tc>
          <w:tcPr>
            <w:tcW w:w="0" w:type="dxa"/>
            <w:vAlign w:val="bottom"/>
          </w:tcPr>
          <w:p>
            <w:pPr>
              <w:spacing w:after="0"/>
              <w:rPr>
                <w:sz w:val="1"/>
                <w:szCs w:val="1"/>
                <w:color w:val="auto"/>
              </w:rPr>
            </w:pPr>
          </w:p>
        </w:tc>
      </w:tr>
      <w:tr>
        <w:trPr>
          <w:trHeight w:val="220"/>
        </w:trPr>
        <w:tc>
          <w:tcPr>
            <w:tcW w:w="298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Cost of goods sold</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780,378</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321,397</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86,534</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1,188,309</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gridSpan w:val="2"/>
            <w:shd w:val="clear" w:color="auto" w:fill="E6E6E6"/>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(62,325)</w:t>
            </w: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1,125,984</w:t>
            </w: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290,879</w:t>
            </w:r>
          </w:p>
        </w:tc>
        <w:tc>
          <w:tcPr>
            <w:tcW w:w="0" w:type="dxa"/>
            <w:vAlign w:val="bottom"/>
          </w:tcPr>
          <w:p>
            <w:pPr>
              <w:spacing w:after="0"/>
              <w:rPr>
                <w:sz w:val="1"/>
                <w:szCs w:val="1"/>
                <w:color w:val="auto"/>
              </w:rPr>
            </w:pPr>
          </w:p>
        </w:tc>
      </w:tr>
      <w:tr>
        <w:trPr>
          <w:trHeight w:val="25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157,873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59,871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251,153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51,095</w:t>
            </w:r>
          </w:p>
        </w:tc>
        <w:tc>
          <w:tcPr>
            <w:tcW w:w="160" w:type="dxa"/>
            <w:vAlign w:val="bottom"/>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1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17,249</w:t>
            </w:r>
          </w:p>
        </w:tc>
        <w:tc>
          <w:tcPr>
            <w:tcW w:w="1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73,444</w:t>
            </w:r>
          </w:p>
        </w:tc>
        <w:tc>
          <w:tcPr>
            <w:tcW w:w="160" w:type="dxa"/>
            <w:vAlign w:val="bottom"/>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73,444</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Segment income from operations</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206,834</w:t>
            </w:r>
          </w:p>
        </w:tc>
        <w:tc>
          <w:tcPr>
            <w:tcW w:w="1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52,159</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4,708</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263,701</w:t>
            </w:r>
          </w:p>
        </w:tc>
        <w:tc>
          <w:tcPr>
            <w:tcW w:w="1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(1,116)</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(39,726)</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222,859</w:t>
            </w:r>
          </w:p>
        </w:tc>
        <w:tc>
          <w:tcPr>
            <w:tcW w:w="0" w:type="dxa"/>
            <w:vAlign w:val="bottom"/>
          </w:tcPr>
          <w:p>
            <w:pPr>
              <w:spacing w:after="0"/>
              <w:rPr>
                <w:sz w:val="1"/>
                <w:szCs w:val="1"/>
                <w:color w:val="auto"/>
              </w:rPr>
            </w:pPr>
          </w:p>
        </w:tc>
      </w:tr>
      <w:tr>
        <w:trPr>
          <w:trHeight w:val="232"/>
        </w:trPr>
        <w:tc>
          <w:tcPr>
            <w:tcW w:w="29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spacing w:after="0"/>
              <w:rPr>
                <w:sz w:val="20"/>
                <w:szCs w:val="20"/>
                <w:color w:val="auto"/>
              </w:rPr>
            </w:pPr>
          </w:p>
        </w:tc>
        <w:tc>
          <w:tcPr>
            <w:tcW w:w="900" w:type="dxa"/>
            <w:vAlign w:val="bottom"/>
            <w:gridSpan w:val="2"/>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Segment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1,608,985</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2,179,818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2,241,257</w:t>
            </w:r>
          </w:p>
        </w:tc>
        <w:tc>
          <w:tcPr>
            <w:tcW w:w="0" w:type="dxa"/>
            <w:vAlign w:val="bottom"/>
          </w:tcPr>
          <w:p>
            <w:pPr>
              <w:spacing w:after="0"/>
              <w:rPr>
                <w:sz w:val="1"/>
                <w:szCs w:val="1"/>
                <w:color w:val="auto"/>
              </w:rPr>
            </w:pPr>
          </w:p>
        </w:tc>
      </w:tr>
      <w:tr>
        <w:trPr>
          <w:trHeight w:val="29"/>
        </w:trPr>
        <w:tc>
          <w:tcPr>
            <w:tcW w:w="2980" w:type="dxa"/>
            <w:vAlign w:val="bottom"/>
            <w:shd w:val="clear" w:color="auto" w:fill="E6E6E6"/>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E6E6E6"/>
            </w:tcBorders>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Capital expenditures</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13,933</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20,381</w:t>
            </w:r>
          </w:p>
        </w:tc>
        <w:tc>
          <w:tcPr>
            <w:tcW w:w="3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3,451</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23,832</w:t>
            </w:r>
          </w:p>
        </w:tc>
        <w:tc>
          <w:tcPr>
            <w:tcW w:w="0" w:type="dxa"/>
            <w:vAlign w:val="bottom"/>
          </w:tcPr>
          <w:p>
            <w:pPr>
              <w:spacing w:after="0"/>
              <w:rPr>
                <w:sz w:val="1"/>
                <w:szCs w:val="1"/>
                <w:color w:val="auto"/>
              </w:rPr>
            </w:pPr>
          </w:p>
        </w:tc>
      </w:tr>
      <w:tr>
        <w:trPr>
          <w:trHeight w:val="240"/>
        </w:trPr>
        <w:tc>
          <w:tcPr>
            <w:tcW w:w="29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29,579</w:t>
            </w:r>
          </w:p>
        </w:tc>
        <w:tc>
          <w:tcPr>
            <w:tcW w:w="16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5,163</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41,918</w:t>
            </w:r>
          </w:p>
        </w:tc>
        <w:tc>
          <w:tcPr>
            <w:tcW w:w="16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43,580</w:t>
            </w:r>
          </w:p>
        </w:tc>
        <w:tc>
          <w:tcPr>
            <w:tcW w:w="0" w:type="dxa"/>
            <w:vAlign w:val="bottom"/>
          </w:tcPr>
          <w:p>
            <w:pPr>
              <w:spacing w:after="0"/>
              <w:rPr>
                <w:sz w:val="1"/>
                <w:szCs w:val="1"/>
                <w:color w:val="auto"/>
              </w:rPr>
            </w:pPr>
          </w:p>
        </w:tc>
      </w:tr>
      <w:tr>
        <w:trPr>
          <w:trHeight w:val="232"/>
        </w:trPr>
        <w:tc>
          <w:tcPr>
            <w:tcW w:w="29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Reconciliation to consolidated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from operations – Fiscal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w w:val="99"/>
              </w:rPr>
              <w:t>Consolidated segment income from</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222,859</w:t>
            </w:r>
          </w:p>
        </w:tc>
        <w:tc>
          <w:tcPr>
            <w:tcW w:w="0" w:type="dxa"/>
            <w:vAlign w:val="bottom"/>
          </w:tcPr>
          <w:p>
            <w:pPr>
              <w:spacing w:after="0"/>
              <w:rPr>
                <w:sz w:val="1"/>
                <w:szCs w:val="1"/>
                <w:color w:val="auto"/>
              </w:rPr>
            </w:pPr>
          </w:p>
        </w:tc>
      </w:tr>
      <w:tr>
        <w:trPr>
          <w:trHeight w:val="210"/>
        </w:trPr>
        <w:tc>
          <w:tcPr>
            <w:tcW w:w="2980" w:type="dxa"/>
            <w:vAlign w:val="bottom"/>
          </w:tcPr>
          <w:p>
            <w:pPr>
              <w:ind w:left="120"/>
              <w:spacing w:after="0" w:line="209" w:lineRule="exact"/>
              <w:rPr>
                <w:sz w:val="20"/>
                <w:szCs w:val="20"/>
                <w:color w:val="auto"/>
              </w:rPr>
            </w:pPr>
            <w:r>
              <w:rPr>
                <w:rFonts w:ascii="Times New Roman" w:cs="Times New Roman" w:eastAsia="Times New Roman" w:hAnsi="Times New Roman"/>
                <w:sz w:val="20"/>
                <w:szCs w:val="20"/>
                <w:color w:val="auto"/>
              </w:rPr>
              <w:t>Impairment, restructuring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E6E6E6"/>
            </w:tcBorders>
          </w:tcPr>
          <w:p>
            <w:pPr>
              <w:ind w:left="260"/>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7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6E6E6"/>
            </w:tcBorders>
          </w:tcPr>
          <w:p>
            <w:pPr>
              <w:spacing w:after="0"/>
              <w:rPr>
                <w:sz w:val="21"/>
                <w:szCs w:val="21"/>
                <w:color w:val="auto"/>
              </w:rPr>
            </w:pPr>
          </w:p>
        </w:tc>
        <w:tc>
          <w:tcPr>
            <w:tcW w:w="1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6E6E6"/>
            </w:tcBorders>
          </w:tcPr>
          <w:p>
            <w:pPr>
              <w:spacing w:after="0"/>
              <w:rPr>
                <w:sz w:val="21"/>
                <w:szCs w:val="21"/>
                <w:color w:val="auto"/>
              </w:rPr>
            </w:pPr>
          </w:p>
        </w:tc>
        <w:tc>
          <w:tcPr>
            <w:tcW w:w="880" w:type="dxa"/>
            <w:vAlign w:val="bottom"/>
            <w:tcBorders>
              <w:bottom w:val="single" w:sz="8" w:color="E6E6E6"/>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0" w:type="dxa"/>
            <w:vAlign w:val="bottom"/>
          </w:tcPr>
          <w:p>
            <w:pPr>
              <w:spacing w:after="0"/>
              <w:rPr>
                <w:sz w:val="1"/>
                <w:szCs w:val="1"/>
                <w:color w:val="auto"/>
              </w:rPr>
            </w:pPr>
          </w:p>
        </w:tc>
      </w:tr>
      <w:tr>
        <w:trPr>
          <w:trHeight w:val="220"/>
        </w:trPr>
        <w:tc>
          <w:tcPr>
            <w:tcW w:w="298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Consolidated income from</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6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8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217,524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1880" w:h="15480" w:orient="portrait"/>
          <w:cols w:equalWidth="0" w:num="1">
            <w:col w:w="10800"/>
          </w:cols>
          <w:pgMar w:left="540" w:top="846" w:right="540" w:bottom="7" w:gutter="0" w:footer="0" w:header="0"/>
          <w:type w:val="continuous"/>
        </w:sectPr>
      </w:pPr>
    </w:p>
    <w:bookmarkStart w:id="108" w:name="page109"/>
    <w:bookmarkEnd w:id="108"/>
    <w:p>
      <w:pPr>
        <w:jc w:val="center"/>
        <w:spacing w:after="0" w:line="457"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Optoelectronics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Manufacturing</w:t>
            </w:r>
          </w:p>
        </w:tc>
        <w:tc>
          <w:tcPr>
            <w:tcW w:w="160" w:type="dxa"/>
            <w:vAlign w:val="bottom"/>
          </w:tcPr>
          <w:p>
            <w:pPr>
              <w:spacing w:after="0"/>
              <w:rPr>
                <w:sz w:val="15"/>
                <w:szCs w:val="15"/>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140" w:type="dxa"/>
            <w:vAlign w:val="bottom"/>
          </w:tcPr>
          <w:p>
            <w:pPr>
              <w:spacing w:after="0"/>
              <w:rPr>
                <w:sz w:val="15"/>
                <w:szCs w:val="15"/>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Unallocated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Division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6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0"/>
        </w:trPr>
        <w:tc>
          <w:tcPr>
            <w:tcW w:w="294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Revenues:</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420" w:type="dxa"/>
            <w:vAlign w:val="bottom"/>
            <w:tcBorders>
              <w:top w:val="single" w:sz="8" w:color="auto"/>
              <w:right w:val="single" w:sz="8" w:color="E6E6E6"/>
            </w:tcBorders>
            <w:shd w:val="clear" w:color="auto" w:fill="E6E6E6"/>
          </w:tcPr>
          <w:p>
            <w:pPr>
              <w:spacing w:after="0"/>
              <w:rPr>
                <w:sz w:val="19"/>
                <w:szCs w:val="19"/>
                <w:color w:val="auto"/>
              </w:rPr>
            </w:pPr>
          </w:p>
        </w:tc>
        <w:tc>
          <w:tcPr>
            <w:tcW w:w="4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280" w:type="dxa"/>
            <w:vAlign w:val="bottom"/>
            <w:tcBorders>
              <w:top w:val="single" w:sz="8" w:color="auto"/>
              <w:right w:val="single" w:sz="8" w:color="E6E6E6"/>
            </w:tcBorders>
            <w:shd w:val="clear" w:color="auto" w:fill="E6E6E6"/>
          </w:tcPr>
          <w:p>
            <w:pPr>
              <w:spacing w:after="0"/>
              <w:rPr>
                <w:sz w:val="19"/>
                <w:szCs w:val="19"/>
                <w:color w:val="auto"/>
              </w:rPr>
            </w:pPr>
          </w:p>
        </w:tc>
        <w:tc>
          <w:tcPr>
            <w:tcW w:w="240" w:type="dxa"/>
            <w:vAlign w:val="bottom"/>
            <w:tcBorders>
              <w:top w:val="single" w:sz="8" w:color="auto"/>
              <w:right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auto"/>
              <w:right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48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auto"/>
            </w:tcBorders>
            <w:shd w:val="clear" w:color="auto" w:fill="E6E6E6"/>
          </w:tcPr>
          <w:p>
            <w:pPr>
              <w:spacing w:after="0"/>
              <w:rPr>
                <w:sz w:val="19"/>
                <w:szCs w:val="19"/>
                <w:color w:val="auto"/>
              </w:rPr>
            </w:pPr>
          </w:p>
        </w:tc>
        <w:tc>
          <w:tcPr>
            <w:tcW w:w="200" w:type="dxa"/>
            <w:vAlign w:val="bottom"/>
            <w:tcBorders>
              <w:top w:val="single" w:sz="8" w:color="auto"/>
              <w:right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54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right w:val="single" w:sz="8" w:color="E6E6E6"/>
            </w:tcBorders>
            <w:shd w:val="clear" w:color="auto" w:fill="E6E6E6"/>
          </w:tcPr>
          <w:p>
            <w:pPr>
              <w:spacing w:after="0"/>
              <w:rPr>
                <w:sz w:val="19"/>
                <w:szCs w:val="19"/>
                <w:color w:val="auto"/>
              </w:rPr>
            </w:pP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External customer 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1,247,949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375,306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162,729</w:t>
            </w: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$ 1,785,984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1,785,984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Intersegment revenue</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75,511</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460" w:type="dxa"/>
            <w:vAlign w:val="bottom"/>
            <w:tcBorders>
              <w:right w:val="single" w:sz="8" w:color="E6E6E6"/>
            </w:tcBorders>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900" w:type="dxa"/>
            <w:vAlign w:val="bottom"/>
            <w:tcBorders>
              <w:right w:val="single" w:sz="8" w:color="E6E6E6"/>
            </w:tcBorders>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75,511</w:t>
            </w: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(75,511)</w:t>
            </w: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940" w:type="dxa"/>
            <w:vAlign w:val="bottom"/>
            <w:tcBorders>
              <w:right w:val="single" w:sz="8" w:color="E6E6E6"/>
            </w:tcBorders>
            <w:gridSpan w:val="2"/>
            <w:shd w:val="clear" w:color="auto" w:fill="E6E6E6"/>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1,247,949</w:t>
            </w:r>
          </w:p>
        </w:tc>
        <w:tc>
          <w:tcPr>
            <w:tcW w:w="160" w:type="dxa"/>
            <w:vAlign w:val="bottom"/>
            <w:tcBorders>
              <w:bottom w:val="single" w:sz="8" w:color="E6E6E6"/>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450,817</w:t>
            </w:r>
          </w:p>
        </w:tc>
        <w:tc>
          <w:tcPr>
            <w:tcW w:w="16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162,729</w:t>
            </w:r>
          </w:p>
        </w:tc>
        <w:tc>
          <w:tcPr>
            <w:tcW w:w="160" w:type="dxa"/>
            <w:vAlign w:val="bottom"/>
            <w:tcBorders>
              <w:bottom w:val="single" w:sz="8" w:color="E6E6E6"/>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1,861,495</w:t>
            </w:r>
          </w:p>
        </w:tc>
        <w:tc>
          <w:tcPr>
            <w:tcW w:w="160" w:type="dxa"/>
            <w:vAlign w:val="bottom"/>
            <w:tcBorders>
              <w:bottom w:val="single" w:sz="8" w:color="E6E6E6"/>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(75,511)</w:t>
            </w:r>
          </w:p>
        </w:tc>
        <w:tc>
          <w:tcPr>
            <w:tcW w:w="14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6E6E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1,785,984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Cost of goods sold</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834,806</w:t>
            </w: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352,666</w:t>
            </w: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40" w:type="dxa"/>
            <w:vAlign w:val="bottom"/>
            <w:tcBorders>
              <w:right w:val="single" w:sz="8" w:color="E6E6E6"/>
            </w:tcBorders>
            <w:gridSpan w:val="4"/>
            <w:shd w:val="clear" w:color="auto" w:fill="E6E6E6"/>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79,801</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00" w:type="dxa"/>
            <w:vAlign w:val="bottom"/>
            <w:tcBorders>
              <w:right w:val="single" w:sz="8" w:color="E6E6E6"/>
            </w:tcBorders>
            <w:gridSpan w:val="4"/>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1,267,273</w:t>
            </w:r>
          </w:p>
        </w:tc>
        <w:tc>
          <w:tcPr>
            <w:tcW w:w="1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60" w:type="dxa"/>
            <w:vAlign w:val="bottom"/>
            <w:gridSpan w:val="2"/>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(74,381)</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60" w:type="dxa"/>
            <w:vAlign w:val="bottom"/>
            <w:tcBorders>
              <w:right w:val="single" w:sz="8" w:color="E6E6E6"/>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1,192,892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149,653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35,361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57,095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242,109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Borders>
              <w:right w:val="single" w:sz="8" w:color="E6E6E6"/>
            </w:tcBorders>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spacing w:after="0"/>
              <w:rPr>
                <w:sz w:val="20"/>
                <w:szCs w:val="20"/>
                <w:color w:val="auto"/>
              </w:rPr>
            </w:pP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60" w:type="dxa"/>
            <w:vAlign w:val="bottom"/>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55,021</w:t>
            </w:r>
          </w:p>
        </w:tc>
        <w:tc>
          <w:tcPr>
            <w:tcW w:w="160" w:type="dxa"/>
            <w:vAlign w:val="bottom"/>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5,198</w:t>
            </w:r>
          </w:p>
        </w:tc>
        <w:tc>
          <w:tcPr>
            <w:tcW w:w="16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right w:val="single" w:sz="8" w:color="E6E6E6"/>
            </w:tcBorders>
            <w:gridSpan w:val="4"/>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18,922</w:t>
            </w:r>
          </w:p>
        </w:tc>
        <w:tc>
          <w:tcPr>
            <w:tcW w:w="160" w:type="dxa"/>
            <w:vAlign w:val="bottom"/>
            <w:shd w:val="clear" w:color="auto" w:fill="E6E6E6"/>
          </w:tcPr>
          <w:p>
            <w:pPr>
              <w:spacing w:after="0"/>
              <w:rPr>
                <w:sz w:val="19"/>
                <w:szCs w:val="19"/>
                <w:color w:val="auto"/>
              </w:rPr>
            </w:pPr>
          </w:p>
        </w:tc>
        <w:tc>
          <w:tcPr>
            <w:tcW w:w="10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right w:val="single" w:sz="8" w:color="E6E6E6"/>
            </w:tcBorders>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79,141</w:t>
            </w:r>
          </w:p>
        </w:tc>
        <w:tc>
          <w:tcPr>
            <w:tcW w:w="160" w:type="dxa"/>
            <w:vAlign w:val="bottom"/>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E6E6E6"/>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Segment income from operations</w:t>
            </w:r>
          </w:p>
        </w:tc>
        <w:tc>
          <w:tcPr>
            <w:tcW w:w="16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208,469</w:t>
            </w:r>
          </w:p>
        </w:tc>
        <w:tc>
          <w:tcPr>
            <w:tcW w:w="1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57,592</w:t>
            </w:r>
          </w:p>
        </w:tc>
        <w:tc>
          <w:tcPr>
            <w:tcW w:w="16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6,911</w:t>
            </w:r>
          </w:p>
        </w:tc>
        <w:tc>
          <w:tcPr>
            <w:tcW w:w="160" w:type="dxa"/>
            <w:vAlign w:val="bottom"/>
            <w:tcBorders>
              <w:bottom w:val="single" w:sz="8" w:color="E6E6E6"/>
            </w:tcBorders>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272,972</w:t>
            </w:r>
          </w:p>
        </w:tc>
        <w:tc>
          <w:tcPr>
            <w:tcW w:w="1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(1,130)</w:t>
            </w:r>
          </w:p>
        </w:tc>
        <w:tc>
          <w:tcPr>
            <w:tcW w:w="14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 (36,281)</w:t>
            </w: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235,561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Borders>
              <w:right w:val="single" w:sz="8" w:color="E6E6E6"/>
            </w:tcBorders>
            <w:shd w:val="clear" w:color="auto" w:fill="E6E6E6"/>
          </w:tcPr>
          <w:p>
            <w:pPr>
              <w:spacing w:after="0"/>
              <w:rPr>
                <w:sz w:val="20"/>
                <w:szCs w:val="20"/>
                <w:color w:val="auto"/>
              </w:rPr>
            </w:pPr>
          </w:p>
        </w:tc>
        <w:tc>
          <w:tcPr>
            <w:tcW w:w="740" w:type="dxa"/>
            <w:vAlign w:val="bottom"/>
            <w:gridSpan w:val="3"/>
            <w:shd w:val="clear" w:color="auto" w:fill="E6E6E6"/>
          </w:tcPr>
          <w:p>
            <w:pPr>
              <w:spacing w:after="0"/>
              <w:rPr>
                <w:sz w:val="20"/>
                <w:szCs w:val="20"/>
                <w:color w:val="auto"/>
              </w:rPr>
            </w:pPr>
          </w:p>
        </w:tc>
        <w:tc>
          <w:tcPr>
            <w:tcW w:w="220" w:type="dxa"/>
            <w:vAlign w:val="bottom"/>
            <w:gridSpan w:val="2"/>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320" w:type="dxa"/>
            <w:vAlign w:val="bottom"/>
            <w:gridSpan w:val="2"/>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020" w:type="dxa"/>
            <w:vAlign w:val="bottom"/>
            <w:tcBorders>
              <w:right w:val="single" w:sz="8" w:color="E6E6E6"/>
            </w:tcBorders>
            <w:gridSpan w:val="3"/>
            <w:shd w:val="clear" w:color="auto" w:fill="E6E6E6"/>
          </w:tcPr>
          <w:p>
            <w:pPr>
              <w:spacing w:after="0"/>
              <w:rPr>
                <w:sz w:val="20"/>
                <w:szCs w:val="20"/>
                <w:color w:val="auto"/>
              </w:rPr>
            </w:pP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Segment assets</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1,581,183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288,163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308,765</w:t>
            </w: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$ 2,178,111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$ 324,341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2,502,452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940" w:type="dxa"/>
            <w:vAlign w:val="bottom"/>
            <w:shd w:val="clear" w:color="auto" w:fill="E6E6E6"/>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E6E6E6"/>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Capital expenditures</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18,202</w:t>
            </w:r>
          </w:p>
        </w:tc>
        <w:tc>
          <w:tcPr>
            <w:tcW w:w="3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7,327</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right w:val="single" w:sz="8" w:color="E6E6E6"/>
            </w:tcBorders>
            <w:shd w:val="clear" w:color="auto" w:fill="E6E6E6"/>
          </w:tcPr>
          <w:p>
            <w:pPr>
              <w:spacing w:after="0"/>
              <w:rPr>
                <w:sz w:val="20"/>
                <w:szCs w:val="20"/>
                <w:color w:val="auto"/>
              </w:rPr>
            </w:pPr>
          </w:p>
        </w:tc>
        <w:tc>
          <w:tcPr>
            <w:tcW w:w="460" w:type="dxa"/>
            <w:vAlign w:val="bottom"/>
            <w:tcBorders>
              <w:right w:val="single" w:sz="8" w:color="E6E6E6"/>
            </w:tcBorders>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w w:val="84"/>
              </w:rPr>
              <w:t>2,942</w:t>
            </w: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E6E6E6"/>
            </w:tcBorders>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28,471</w:t>
            </w:r>
          </w:p>
        </w:tc>
        <w:tc>
          <w:tcPr>
            <w:tcW w:w="32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4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Borders>
              <w:bottom w:val="single" w:sz="8" w:color="E6E6E6"/>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28,472</w:t>
            </w:r>
          </w:p>
        </w:tc>
        <w:tc>
          <w:tcPr>
            <w:tcW w:w="16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7,938</w:t>
            </w:r>
          </w:p>
        </w:tc>
        <w:tc>
          <w:tcPr>
            <w:tcW w:w="16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4,310</w:t>
            </w:r>
          </w:p>
        </w:tc>
        <w:tc>
          <w:tcPr>
            <w:tcW w:w="160" w:type="dxa"/>
            <w:vAlign w:val="bottom"/>
            <w:tcBorders>
              <w:bottom w:val="single" w:sz="8" w:color="E6E6E6"/>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40,720</w:t>
            </w:r>
          </w:p>
        </w:tc>
        <w:tc>
          <w:tcPr>
            <w:tcW w:w="160" w:type="dxa"/>
            <w:vAlign w:val="bottom"/>
            <w:tcBorders>
              <w:bottom w:val="single" w:sz="8" w:color="E6E6E6"/>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1,930</w:t>
            </w:r>
          </w:p>
        </w:tc>
        <w:tc>
          <w:tcPr>
            <w:tcW w:w="18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Borders>
              <w:right w:val="single" w:sz="8" w:color="E6E6E6"/>
            </w:tcBorders>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spacing w:after="0"/>
              <w:rPr>
                <w:sz w:val="20"/>
                <w:szCs w:val="20"/>
                <w:color w:val="auto"/>
              </w:rPr>
            </w:pP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line="210" w:lineRule="exact"/>
              <w:rPr>
                <w:sz w:val="20"/>
                <w:szCs w:val="20"/>
                <w:color w:val="auto"/>
              </w:rPr>
            </w:pPr>
            <w:r>
              <w:rPr>
                <w:rFonts w:ascii="Times New Roman" w:cs="Times New Roman" w:eastAsia="Times New Roman" w:hAnsi="Times New Roman"/>
                <w:sz w:val="20"/>
                <w:szCs w:val="20"/>
                <w:color w:val="auto"/>
              </w:rPr>
              <w:t>Reconciliation to consolidated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from operations – Fiscal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Consolidated segment income</w:t>
            </w:r>
          </w:p>
        </w:tc>
        <w:tc>
          <w:tcPr>
            <w:tcW w:w="1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420" w:type="dxa"/>
            <w:vAlign w:val="bottom"/>
            <w:tcBorders>
              <w:right w:val="single" w:sz="8" w:color="E6E6E6"/>
            </w:tcBorders>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80" w:type="dxa"/>
            <w:vAlign w:val="bottom"/>
            <w:tcBorders>
              <w:right w:val="single" w:sz="8" w:color="E6E6E6"/>
            </w:tcBorders>
            <w:shd w:val="clear" w:color="auto" w:fill="E6E6E6"/>
          </w:tcPr>
          <w:p>
            <w:pPr>
              <w:spacing w:after="0"/>
              <w:rPr>
                <w:sz w:val="19"/>
                <w:szCs w:val="19"/>
                <w:color w:val="auto"/>
              </w:rPr>
            </w:pP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tcBorders>
              <w:right w:val="single" w:sz="8" w:color="E6E6E6"/>
            </w:tcBorders>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60" w:type="dxa"/>
            <w:vAlign w:val="bottom"/>
            <w:tcBorders>
              <w:right w:val="single" w:sz="8" w:color="E6E6E6"/>
            </w:tcBorders>
            <w:shd w:val="clear" w:color="auto" w:fill="E6E6E6"/>
          </w:tcPr>
          <w:p>
            <w:pPr>
              <w:spacing w:after="0"/>
              <w:rPr>
                <w:sz w:val="19"/>
                <w:szCs w:val="19"/>
                <w:color w:val="auto"/>
              </w:rPr>
            </w:pP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from operations</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460" w:type="dxa"/>
            <w:vAlign w:val="bottom"/>
            <w:tcBorders>
              <w:right w:val="single" w:sz="8" w:color="E6E6E6"/>
            </w:tcBorders>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6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6E6E6"/>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235,561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20"/>
              <w:spacing w:after="0" w:line="209" w:lineRule="exact"/>
              <w:rPr>
                <w:sz w:val="20"/>
                <w:szCs w:val="20"/>
                <w:color w:val="auto"/>
              </w:rPr>
            </w:pPr>
            <w:r>
              <w:rPr>
                <w:rFonts w:ascii="Times New Roman" w:cs="Times New Roman" w:eastAsia="Times New Roman" w:hAnsi="Times New Roman"/>
                <w:sz w:val="20"/>
                <w:szCs w:val="20"/>
                <w:color w:val="auto"/>
              </w:rPr>
              <w:t>Impairment, restructuring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charges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(16,591)</w:t>
            </w:r>
          </w:p>
        </w:tc>
        <w:tc>
          <w:tcPr>
            <w:tcW w:w="0" w:type="dxa"/>
            <w:vAlign w:val="bottom"/>
          </w:tcPr>
          <w:p>
            <w:pPr>
              <w:spacing w:after="0"/>
              <w:rPr>
                <w:sz w:val="1"/>
                <w:szCs w:val="1"/>
                <w:color w:val="auto"/>
              </w:rPr>
            </w:pPr>
          </w:p>
        </w:tc>
      </w:tr>
      <w:tr>
        <w:trPr>
          <w:trHeight w:val="220"/>
        </w:trPr>
        <w:tc>
          <w:tcPr>
            <w:tcW w:w="2940" w:type="dxa"/>
            <w:vAlign w:val="bottom"/>
            <w:tcBorders>
              <w:top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Consolidated income from</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420" w:type="dxa"/>
            <w:vAlign w:val="bottom"/>
            <w:tcBorders>
              <w:top w:val="single" w:sz="8" w:color="E6E6E6"/>
              <w:right w:val="single" w:sz="8" w:color="E6E6E6"/>
            </w:tcBorders>
            <w:shd w:val="clear" w:color="auto" w:fill="E6E6E6"/>
          </w:tcPr>
          <w:p>
            <w:pPr>
              <w:spacing w:after="0"/>
              <w:rPr>
                <w:sz w:val="19"/>
                <w:szCs w:val="19"/>
                <w:color w:val="auto"/>
              </w:rPr>
            </w:pPr>
          </w:p>
        </w:tc>
        <w:tc>
          <w:tcPr>
            <w:tcW w:w="4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E6E6E6"/>
              <w:right w:val="single" w:sz="8" w:color="E6E6E6"/>
            </w:tcBorders>
            <w:shd w:val="clear" w:color="auto" w:fill="E6E6E6"/>
          </w:tcPr>
          <w:p>
            <w:pPr>
              <w:spacing w:after="0"/>
              <w:rPr>
                <w:sz w:val="19"/>
                <w:szCs w:val="19"/>
                <w:color w:val="auto"/>
              </w:rPr>
            </w:pPr>
          </w:p>
        </w:tc>
        <w:tc>
          <w:tcPr>
            <w:tcW w:w="24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right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48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E6E6E6"/>
              <w:right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54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E6E6E6"/>
            </w:tcBorders>
            <w:shd w:val="clear" w:color="auto" w:fill="E6E6E6"/>
          </w:tcPr>
          <w:p>
            <w:pPr>
              <w:spacing w:after="0"/>
              <w:rPr>
                <w:sz w:val="19"/>
                <w:szCs w:val="19"/>
                <w:color w:val="auto"/>
              </w:rPr>
            </w:pPr>
          </w:p>
        </w:tc>
        <w:tc>
          <w:tcPr>
            <w:tcW w:w="760" w:type="dxa"/>
            <w:vAlign w:val="bottom"/>
            <w:tcBorders>
              <w:top w:val="single" w:sz="8" w:color="E6E6E6"/>
              <w:right w:val="single" w:sz="8" w:color="E6E6E6"/>
            </w:tcBorders>
            <w:shd w:val="clear" w:color="auto" w:fill="E6E6E6"/>
          </w:tcPr>
          <w:p>
            <w:pPr>
              <w:spacing w:after="0"/>
              <w:rPr>
                <w:sz w:val="19"/>
                <w:szCs w:val="19"/>
                <w:color w:val="auto"/>
              </w:rPr>
            </w:pP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40" w:type="dxa"/>
            <w:vAlign w:val="bottom"/>
            <w:shd w:val="clear" w:color="auto" w:fill="E6E6E6"/>
          </w:tcPr>
          <w:p>
            <w:pPr>
              <w:ind w:left="26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tcBorders>
              <w:right w:val="single" w:sz="8" w:color="E6E6E6"/>
            </w:tcBorders>
            <w:shd w:val="clear" w:color="auto" w:fill="E6E6E6"/>
          </w:tcPr>
          <w:p>
            <w:pPr>
              <w:spacing w:after="0"/>
              <w:rPr>
                <w:sz w:val="20"/>
                <w:szCs w:val="20"/>
                <w:color w:val="auto"/>
              </w:rPr>
            </w:pPr>
          </w:p>
        </w:tc>
        <w:tc>
          <w:tcPr>
            <w:tcW w:w="460" w:type="dxa"/>
            <w:vAlign w:val="bottom"/>
            <w:tcBorders>
              <w:right w:val="single" w:sz="8" w:color="E6E6E6"/>
            </w:tcBorders>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6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6E6E6"/>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shd w:val="clear" w:color="auto" w:fill="E6E6E6"/>
              </w:rPr>
              <w:t>218,970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8880" w:type="dxa"/>
            <w:vAlign w:val="bottom"/>
            <w:gridSpan w:val="26"/>
          </w:tcPr>
          <w:p>
            <w:pPr>
              <w:ind w:left="720"/>
              <w:spacing w:after="0"/>
              <w:rPr>
                <w:sz w:val="20"/>
                <w:szCs w:val="20"/>
                <w:color w:val="auto"/>
              </w:rPr>
            </w:pPr>
            <w:r>
              <w:rPr>
                <w:rFonts w:ascii="Times New Roman" w:cs="Times New Roman" w:eastAsia="Times New Roman" w:hAnsi="Times New Roman"/>
                <w:sz w:val="20"/>
                <w:szCs w:val="20"/>
                <w:color w:val="auto"/>
              </w:rPr>
              <w:t>The following tables present the revenues and identifiable assets by geographical area (in thousands):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jc w:val="right"/>
              <w:ind w:right="122"/>
              <w:spacing w:after="0" w:line="154"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240" w:type="dxa"/>
            <w:vAlign w:val="bottom"/>
          </w:tcPr>
          <w:p>
            <w:pPr>
              <w:spacing w:after="0"/>
              <w:rPr>
                <w:sz w:val="13"/>
                <w:szCs w:val="13"/>
                <w:color w:val="auto"/>
              </w:rPr>
            </w:pPr>
          </w:p>
        </w:tc>
        <w:tc>
          <w:tcPr>
            <w:tcW w:w="1100" w:type="dxa"/>
            <w:vAlign w:val="bottom"/>
            <w:gridSpan w:val="6"/>
          </w:tcPr>
          <w:p>
            <w:pPr>
              <w:jc w:val="center"/>
              <w:ind w:right="1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ind w:left="160"/>
              <w:spacing w:after="0" w:line="154"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4"/>
          </w:tcPr>
          <w:p>
            <w:pPr>
              <w:ind w:left="120"/>
              <w:spacing w:after="0" w:line="154"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120" w:type="dxa"/>
            <w:vAlign w:val="bottom"/>
          </w:tcPr>
          <w:p>
            <w:pPr>
              <w:spacing w:after="0"/>
              <w:rPr>
                <w:sz w:val="13"/>
                <w:szCs w:val="13"/>
                <w:color w:val="auto"/>
              </w:rPr>
            </w:pPr>
          </w:p>
        </w:tc>
        <w:tc>
          <w:tcPr>
            <w:tcW w:w="860" w:type="dxa"/>
            <w:vAlign w:val="bottom"/>
          </w:tcPr>
          <w:p>
            <w:pPr>
              <w:jc w:val="center"/>
              <w:ind w:right="21"/>
              <w:spacing w:after="0" w:line="154"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2"/>
              </w:rPr>
              <w:t>revenues</w:t>
            </w:r>
          </w:p>
        </w:tc>
        <w:tc>
          <w:tcPr>
            <w:tcW w:w="80" w:type="dxa"/>
            <w:vAlign w:val="bottom"/>
          </w:tcPr>
          <w:p>
            <w:pPr>
              <w:spacing w:after="0"/>
              <w:rPr>
                <w:sz w:val="17"/>
                <w:szCs w:val="17"/>
                <w:color w:val="auto"/>
              </w:rPr>
            </w:pPr>
          </w:p>
        </w:tc>
        <w:tc>
          <w:tcPr>
            <w:tcW w:w="128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tangible assets</w:t>
            </w:r>
          </w:p>
        </w:tc>
        <w:tc>
          <w:tcPr>
            <w:tcW w:w="12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0" w:type="dxa"/>
            <w:vAlign w:val="bottom"/>
          </w:tcPr>
          <w:p>
            <w:pPr>
              <w:spacing w:after="0"/>
              <w:rPr>
                <w:sz w:val="1"/>
                <w:szCs w:val="1"/>
                <w:color w:val="auto"/>
              </w:rPr>
            </w:pPr>
          </w:p>
        </w:tc>
      </w:tr>
      <w:tr>
        <w:trPr>
          <w:trHeight w:val="220"/>
        </w:trPr>
        <w:tc>
          <w:tcPr>
            <w:tcW w:w="2940" w:type="dxa"/>
            <w:vAlign w:val="bottom"/>
            <w:tcBorders>
              <w:top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Geographic region:</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420" w:type="dxa"/>
            <w:vAlign w:val="bottom"/>
            <w:tcBorders>
              <w:top w:val="single" w:sz="8" w:color="E6E6E6"/>
              <w:right w:val="single" w:sz="8" w:color="E6E6E6"/>
            </w:tcBorders>
            <w:shd w:val="clear" w:color="auto" w:fill="E6E6E6"/>
          </w:tcPr>
          <w:p>
            <w:pPr>
              <w:spacing w:after="0"/>
              <w:rPr>
                <w:sz w:val="19"/>
                <w:szCs w:val="19"/>
                <w:color w:val="auto"/>
              </w:rPr>
            </w:pPr>
          </w:p>
        </w:tc>
        <w:tc>
          <w:tcPr>
            <w:tcW w:w="48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280" w:type="dxa"/>
            <w:vAlign w:val="bottom"/>
            <w:tcBorders>
              <w:top w:val="single" w:sz="8" w:color="auto"/>
              <w:right w:val="single" w:sz="8" w:color="E6E6E6"/>
            </w:tcBorders>
            <w:shd w:val="clear" w:color="auto" w:fill="E6E6E6"/>
          </w:tcPr>
          <w:p>
            <w:pPr>
              <w:spacing w:after="0"/>
              <w:rPr>
                <w:sz w:val="19"/>
                <w:szCs w:val="19"/>
                <w:color w:val="auto"/>
              </w:rPr>
            </w:pPr>
          </w:p>
        </w:tc>
        <w:tc>
          <w:tcPr>
            <w:tcW w:w="24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23,316</w:t>
            </w:r>
          </w:p>
        </w:tc>
        <w:tc>
          <w:tcPr>
            <w:tcW w:w="14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right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54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right w:val="single" w:sz="8" w:color="E6E6E6"/>
            </w:tcBorders>
            <w:shd w:val="clear" w:color="auto" w:fill="E6E6E6"/>
          </w:tcPr>
          <w:p>
            <w:pPr>
              <w:spacing w:after="0"/>
              <w:rPr>
                <w:sz w:val="19"/>
                <w:szCs w:val="19"/>
                <w:color w:val="auto"/>
              </w:rPr>
            </w:pP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   527,120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550,436</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127,682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60" w:type="dxa"/>
            <w:vAlign w:val="bottom"/>
            <w:tcBorders>
              <w:right w:val="single" w:sz="8" w:color="E6E6E6"/>
            </w:tcBorders>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423,185</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8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423,185</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3,312</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Americas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61,583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61,583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top w:val="single" w:sz="8" w:color="E6E6E6"/>
            </w:tcBorders>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Americas</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E6E6E6"/>
            </w:tcBorders>
            <w:shd w:val="clear" w:color="auto" w:fill="E6E6E6"/>
          </w:tcPr>
          <w:p>
            <w:pPr>
              <w:spacing w:after="0"/>
              <w:rPr>
                <w:sz w:val="19"/>
                <w:szCs w:val="19"/>
                <w:color w:val="auto"/>
              </w:rPr>
            </w:pPr>
          </w:p>
        </w:tc>
        <w:tc>
          <w:tcPr>
            <w:tcW w:w="420" w:type="dxa"/>
            <w:vAlign w:val="bottom"/>
            <w:tcBorders>
              <w:top w:val="single" w:sz="8" w:color="E6E6E6"/>
              <w:right w:val="single" w:sz="8" w:color="E6E6E6"/>
            </w:tcBorders>
            <w:shd w:val="clear" w:color="auto" w:fill="E6E6E6"/>
          </w:tcPr>
          <w:p>
            <w:pPr>
              <w:spacing w:after="0"/>
              <w:rPr>
                <w:sz w:val="19"/>
                <w:szCs w:val="19"/>
                <w:color w:val="auto"/>
              </w:rPr>
            </w:pPr>
          </w:p>
        </w:tc>
        <w:tc>
          <w:tcPr>
            <w:tcW w:w="1040" w:type="dxa"/>
            <w:vAlign w:val="bottom"/>
            <w:tcBorders>
              <w:top w:val="single" w:sz="8" w:color="auto"/>
              <w:right w:val="single" w:sz="8" w:color="E6E6E6"/>
            </w:tcBorders>
            <w:gridSpan w:val="4"/>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1,011,888</w:t>
            </w:r>
          </w:p>
        </w:tc>
        <w:tc>
          <w:tcPr>
            <w:tcW w:w="24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23,316</w:t>
            </w:r>
          </w:p>
        </w:tc>
        <w:tc>
          <w:tcPr>
            <w:tcW w:w="14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right w:val="single" w:sz="8" w:color="E6E6E6"/>
            </w:tcBorders>
            <w:shd w:val="clear" w:color="auto" w:fill="E6E6E6"/>
          </w:tcPr>
          <w:p>
            <w:pPr>
              <w:spacing w:after="0"/>
              <w:rPr>
                <w:sz w:val="19"/>
                <w:szCs w:val="19"/>
                <w:color w:val="auto"/>
              </w:rPr>
            </w:pPr>
          </w:p>
        </w:tc>
        <w:tc>
          <w:tcPr>
            <w:tcW w:w="860" w:type="dxa"/>
            <w:vAlign w:val="bottom"/>
            <w:tcBorders>
              <w:top w:val="single" w:sz="8" w:color="auto"/>
            </w:tcBorders>
            <w:gridSpan w:val="3"/>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1,035,204</w:t>
            </w:r>
          </w:p>
        </w:tc>
        <w:tc>
          <w:tcPr>
            <w:tcW w:w="2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right w:val="single" w:sz="8" w:color="E6E6E6"/>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137,594</w:t>
            </w: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562,097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Kingdom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234,858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245,941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3"/>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Europe, Middle East and Africa</w:t>
            </w: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60" w:type="dxa"/>
            <w:vAlign w:val="bottom"/>
            <w:tcBorders>
              <w:right w:val="single" w:sz="8" w:color="E6E6E6"/>
            </w:tcBorders>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49,972</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8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49,972</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EMEA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Borders>
              <w:top w:val="single" w:sz="8" w:color="auto"/>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284,830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11,083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295,913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30,762</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94,071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Asia-Pacific</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60" w:type="dxa"/>
            <w:vAlign w:val="bottom"/>
            <w:tcBorders>
              <w:right w:val="single" w:sz="8" w:color="E6E6E6"/>
            </w:tcBorders>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242,040</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25,619</w:t>
            </w: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0" w:type="dxa"/>
            <w:vAlign w:val="bottom"/>
            <w:tcBorders>
              <w:right w:val="single" w:sz="8" w:color="E6E6E6"/>
            </w:tcBorders>
            <w:shd w:val="clear" w:color="auto" w:fill="E6E6E6"/>
          </w:tcPr>
          <w:p>
            <w:pPr>
              <w:spacing w:after="0"/>
              <w:rPr>
                <w:sz w:val="20"/>
                <w:szCs w:val="20"/>
                <w:color w:val="auto"/>
              </w:rPr>
            </w:pPr>
          </w:p>
        </w:tc>
        <w:tc>
          <w:tcPr>
            <w:tcW w:w="8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267,659</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17,524</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20,721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Eliminations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(60,018)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880" w:type="dxa"/>
            <w:vAlign w:val="bottom"/>
            <w:shd w:val="clear" w:color="auto" w:fill="E6E6E6"/>
          </w:tcPr>
          <w:p>
            <w:pPr>
              <w:spacing w:after="0" w:line="20" w:lineRule="exact"/>
              <w:rPr>
                <w:sz w:val="1"/>
                <w:szCs w:val="1"/>
                <w:color w:val="auto"/>
              </w:rPr>
            </w:pPr>
          </w:p>
        </w:tc>
        <w:tc>
          <w:tcPr>
            <w:tcW w:w="160" w:type="dxa"/>
            <w:vAlign w:val="bottom"/>
            <w:shd w:val="clear" w:color="auto" w:fill="E6E6E6"/>
          </w:tcPr>
          <w:p>
            <w:pPr>
              <w:spacing w:after="0" w:line="20" w:lineRule="exact"/>
              <w:rPr>
                <w:sz w:val="1"/>
                <w:szCs w:val="1"/>
                <w:color w:val="auto"/>
              </w:rPr>
            </w:pPr>
          </w:p>
        </w:tc>
        <w:tc>
          <w:tcPr>
            <w:tcW w:w="180" w:type="dxa"/>
            <w:vAlign w:val="bottom"/>
            <w:shd w:val="clear" w:color="auto" w:fill="E6E6E6"/>
          </w:tcPr>
          <w:p>
            <w:pPr>
              <w:spacing w:after="0" w:line="20" w:lineRule="exact"/>
              <w:rPr>
                <w:sz w:val="1"/>
                <w:szCs w:val="1"/>
                <w:color w:val="auto"/>
              </w:rPr>
            </w:pPr>
          </w:p>
        </w:tc>
        <w:tc>
          <w:tcPr>
            <w:tcW w:w="420" w:type="dxa"/>
            <w:vAlign w:val="bottom"/>
            <w:tcBorders>
              <w:right w:val="single" w:sz="8" w:color="E6E6E6"/>
            </w:tcBorders>
            <w:shd w:val="clear" w:color="auto" w:fill="E6E6E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E6E6E6"/>
            </w:tcBorders>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40" w:type="dxa"/>
            <w:vAlign w:val="bottom"/>
            <w:shd w:val="clear" w:color="auto" w:fill="E6E6E6"/>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420" w:type="dxa"/>
            <w:vAlign w:val="bottom"/>
            <w:tcBorders>
              <w:right w:val="single" w:sz="8" w:color="E6E6E6"/>
            </w:tcBorders>
            <w:shd w:val="clear" w:color="auto" w:fill="E6E6E6"/>
          </w:tcPr>
          <w:p>
            <w:pPr>
              <w:spacing w:after="0"/>
              <w:rPr>
                <w:sz w:val="20"/>
                <w:szCs w:val="20"/>
                <w:color w:val="auto"/>
              </w:rPr>
            </w:pPr>
          </w:p>
        </w:tc>
        <w:tc>
          <w:tcPr>
            <w:tcW w:w="1040" w:type="dxa"/>
            <w:vAlign w:val="bottom"/>
            <w:tcBorders>
              <w:bottom w:val="single" w:sz="8" w:color="auto"/>
              <w:right w:val="single" w:sz="8" w:color="E6E6E6"/>
            </w:tcBorders>
            <w:gridSpan w:val="4"/>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$ 1,538,758</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060" w:type="dxa"/>
            <w:vAlign w:val="bottom"/>
            <w:tcBorders>
              <w:bottom w:val="single" w:sz="8" w:color="auto"/>
            </w:tcBorders>
            <w:gridSpan w:val="4"/>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$ 1,538,758</w:t>
            </w:r>
          </w:p>
        </w:tc>
        <w:tc>
          <w:tcPr>
            <w:tcW w:w="220" w:type="dxa"/>
            <w:vAlign w:val="bottom"/>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shd w:val="clear" w:color="auto" w:fill="E6E6E6"/>
          </w:tcPr>
          <w:p>
            <w:pPr>
              <w:spacing w:after="0"/>
              <w:rPr>
                <w:sz w:val="20"/>
                <w:szCs w:val="20"/>
                <w:color w:val="auto"/>
              </w:rPr>
            </w:pPr>
          </w:p>
        </w:tc>
        <w:tc>
          <w:tcPr>
            <w:tcW w:w="760" w:type="dxa"/>
            <w:vAlign w:val="bottom"/>
            <w:tcBorders>
              <w:bottom w:val="single" w:sz="8" w:color="auto"/>
              <w:right w:val="single" w:sz="8" w:color="E6E6E6"/>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185,880</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676,889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-1656715</wp:posOffset>
            </wp:positionV>
            <wp:extent cx="55435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0">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-1364615</wp:posOffset>
            </wp:positionV>
            <wp:extent cx="55435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1">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-1066165</wp:posOffset>
            </wp:positionV>
            <wp:extent cx="55435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2">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-774065</wp:posOffset>
            </wp:positionV>
            <wp:extent cx="55435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-475615</wp:posOffset>
            </wp:positionV>
            <wp:extent cx="55435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4">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-176530</wp:posOffset>
            </wp:positionV>
            <wp:extent cx="554355" cy="170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a:extLst>
                        <a:ext uri="{28A0092B-C50C-407E-A947-70E740481C1C}"/>
                      </a:extLst>
                    </a:blip>
                    <a:srcRect/>
                    <a:stretch>
                      <a:fillRect/>
                    </a:stretch>
                  </pic:blipFill>
                  <pic:spPr bwMode="auto">
                    <a:xfrm>
                      <a:off x="0" y="0"/>
                      <a:ext cx="554355" cy="170815"/>
                    </a:xfrm>
                    <a:prstGeom prst="rect">
                      <a:avLst/>
                    </a:prstGeom>
                    <a:noFill/>
                  </pic:spPr>
                </pic:pic>
              </a:graphicData>
            </a:graphic>
          </wp:anchor>
        </w:drawing>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1880" w:h="15480" w:orient="portrait"/>
          <w:cols w:equalWidth="0" w:num="1">
            <w:col w:w="10800"/>
          </w:cols>
          <w:pgMar w:left="540" w:top="846" w:right="540" w:bottom="7" w:gutter="0" w:footer="0" w:header="0"/>
          <w:type w:val="continuous"/>
        </w:sectPr>
      </w:pPr>
    </w:p>
    <w:bookmarkStart w:id="109" w:name="page110"/>
    <w:bookmarkEnd w:id="109"/>
    <w:p>
      <w:pPr>
        <w:jc w:val="center"/>
        <w:spacing w:after="0" w:line="457" w:lineRule="auto"/>
        <w:rPr>
          <w:sz w:val="20"/>
          <w:szCs w:val="20"/>
          <w:color w:val="auto"/>
        </w:rPr>
      </w:pPr>
      <w:r>
        <w:rPr>
          <w:rFonts w:ascii="Times New Roman" w:cs="Times New Roman" w:eastAsia="Times New Roman" w:hAnsi="Times New Roman"/>
          <w:sz w:val="20"/>
          <w:szCs w:val="20"/>
          <w:b w:val="1"/>
          <w:bCs w:val="1"/>
          <w:color w:val="auto"/>
        </w:rPr>
        <w:t>OSI SYSTEMS, INC. AND SUBSIDIARIES NOTES TO CONSOLIDATED FINANCIAL STATEMENTS—(Continued) FOR THE THREE YEARS ENDED JUNE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23"/>
              <w:spacing w:after="0" w:line="155"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240" w:type="dxa"/>
            <w:vAlign w:val="bottom"/>
          </w:tcPr>
          <w:p>
            <w:pPr>
              <w:spacing w:after="0"/>
              <w:rPr>
                <w:sz w:val="13"/>
                <w:szCs w:val="13"/>
                <w:color w:val="auto"/>
              </w:rPr>
            </w:pPr>
          </w:p>
        </w:tc>
        <w:tc>
          <w:tcPr>
            <w:tcW w:w="11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12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3"/>
                <w:szCs w:val="13"/>
                <w:color w:val="auto"/>
              </w:rPr>
            </w:pPr>
          </w:p>
        </w:tc>
        <w:tc>
          <w:tcPr>
            <w:tcW w:w="86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Long-lived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tangible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0" w:type="dxa"/>
            <w:vAlign w:val="bottom"/>
          </w:tcPr>
          <w:p>
            <w:pPr>
              <w:spacing w:after="0"/>
              <w:rPr>
                <w:sz w:val="1"/>
                <w:szCs w:val="1"/>
                <w:color w:val="auto"/>
              </w:rPr>
            </w:pPr>
          </w:p>
        </w:tc>
      </w:tr>
      <w:tr>
        <w:trPr>
          <w:trHeight w:val="220"/>
        </w:trPr>
        <w:tc>
          <w:tcPr>
            <w:tcW w:w="4880" w:type="dxa"/>
            <w:vAlign w:val="bottom"/>
            <w:tcBorders>
              <w:top w:val="single" w:sz="8" w:color="E6E6E6"/>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Geographic region:</w:t>
            </w:r>
          </w:p>
        </w:tc>
        <w:tc>
          <w:tcPr>
            <w:tcW w:w="14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right w:val="single" w:sz="8" w:color="E6E6E6"/>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563,037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589,599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276,324</w:t>
            </w: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276,324</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3,276</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4,262</w:t>
            </w: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Other Americas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155,075</w:t>
            </w:r>
          </w:p>
        </w:tc>
        <w:tc>
          <w:tcPr>
            <w:tcW w:w="24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155,081</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22,924</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112,108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80" w:type="dxa"/>
            <w:vAlign w:val="bottom"/>
            <w:tcBorders>
              <w:right w:val="single" w:sz="8" w:color="E6E6E6"/>
            </w:tcBorders>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Americas</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994,436</w:t>
            </w: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26,568</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1,021,004</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154,261</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655,422</w:t>
            </w: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Kingdom</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372,959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382,434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Europe, Middle East and Africa</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50,030</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right w:val="single" w:sz="8" w:color="E6E6E6"/>
            </w:tcBorders>
            <w:shd w:val="clear" w:color="auto" w:fill="E6E6E6"/>
          </w:tcPr>
          <w:p>
            <w:pPr>
              <w:spacing w:after="0"/>
              <w:rPr>
                <w:sz w:val="20"/>
                <w:szCs w:val="20"/>
                <w:color w:val="auto"/>
              </w:rPr>
            </w:pPr>
          </w:p>
        </w:tc>
        <w:tc>
          <w:tcPr>
            <w:tcW w:w="104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50,030</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10,449</w:t>
            </w:r>
          </w:p>
        </w:tc>
        <w:tc>
          <w:tcPr>
            <w:tcW w:w="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EMEA</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422,989</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9,475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432,464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32,187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98,550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Asia-Pacific</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295,741</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right w:val="single" w:sz="8" w:color="E6E6E6"/>
            </w:tcBorders>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27,398</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323,139</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15,040</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18,199</w:t>
            </w:r>
          </w:p>
        </w:tc>
        <w:tc>
          <w:tcPr>
            <w:tcW w:w="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Eliminations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(63,441)</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(63,441)</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88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tcBorders>
              <w:right w:val="single" w:sz="8" w:color="E6E6E6"/>
            </w:tcBorders>
            <w:shd w:val="clear" w:color="auto" w:fill="E6E6E6"/>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1,713,166</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right w:val="single" w:sz="8" w:color="E6E6E6"/>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20"/>
                <w:szCs w:val="20"/>
                <w:color w:val="auto"/>
              </w:rPr>
            </w:pPr>
          </w:p>
        </w:tc>
        <w:tc>
          <w:tcPr>
            <w:tcW w:w="1060" w:type="dxa"/>
            <w:vAlign w:val="bottom"/>
            <w:tcBorders>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$ 1,713,166</w:t>
            </w:r>
          </w:p>
        </w:tc>
        <w:tc>
          <w:tcPr>
            <w:tcW w:w="22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201,488</w:t>
            </w:r>
          </w:p>
        </w:tc>
        <w:tc>
          <w:tcPr>
            <w:tcW w:w="22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772,171</w:t>
            </w:r>
          </w:p>
        </w:tc>
        <w:tc>
          <w:tcPr>
            <w:tcW w:w="20" w:type="dxa"/>
            <w:vAlign w:val="bottom"/>
            <w:tcBorders>
              <w:bottom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23"/>
              <w:spacing w:after="0" w:line="155"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240" w:type="dxa"/>
            <w:vAlign w:val="bottom"/>
          </w:tcPr>
          <w:p>
            <w:pPr>
              <w:spacing w:after="0"/>
              <w:rPr>
                <w:sz w:val="13"/>
                <w:szCs w:val="13"/>
                <w:color w:val="auto"/>
              </w:rPr>
            </w:pPr>
          </w:p>
        </w:tc>
        <w:tc>
          <w:tcPr>
            <w:tcW w:w="11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Intersegment</w:t>
            </w:r>
          </w:p>
        </w:tc>
        <w:tc>
          <w:tcPr>
            <w:tcW w:w="12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3"/>
                <w:szCs w:val="13"/>
                <w:color w:val="auto"/>
              </w:rPr>
            </w:pPr>
          </w:p>
        </w:tc>
        <w:tc>
          <w:tcPr>
            <w:tcW w:w="86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Long-lived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23"/>
              <w:spacing w:after="0" w:line="155"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tangible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0" w:type="dxa"/>
            <w:vAlign w:val="bottom"/>
          </w:tcPr>
          <w:p>
            <w:pPr>
              <w:spacing w:after="0"/>
              <w:rPr>
                <w:sz w:val="1"/>
                <w:szCs w:val="1"/>
                <w:color w:val="auto"/>
              </w:rPr>
            </w:pPr>
          </w:p>
        </w:tc>
      </w:tr>
      <w:tr>
        <w:trPr>
          <w:trHeight w:val="220"/>
        </w:trPr>
        <w:tc>
          <w:tcPr>
            <w:tcW w:w="4880" w:type="dxa"/>
            <w:vAlign w:val="bottom"/>
            <w:tcBorders>
              <w:top w:val="single" w:sz="8" w:color="E6E6E6"/>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Geographic region:</w:t>
            </w:r>
          </w:p>
        </w:tc>
        <w:tc>
          <w:tcPr>
            <w:tcW w:w="140" w:type="dxa"/>
            <w:vAlign w:val="bottom"/>
            <w:tcBorders>
              <w:top w:val="single" w:sz="8" w:color="auto"/>
            </w:tcBorders>
            <w:shd w:val="clear" w:color="auto" w:fill="E6E6E6"/>
          </w:tcPr>
          <w:p>
            <w:pPr>
              <w:spacing w:after="0"/>
              <w:rPr>
                <w:sz w:val="19"/>
                <w:szCs w:val="19"/>
                <w:color w:val="auto"/>
              </w:rPr>
            </w:pPr>
          </w:p>
        </w:tc>
        <w:tc>
          <w:tcPr>
            <w:tcW w:w="90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right w:val="single" w:sz="8" w:color="E6E6E6"/>
            </w:tcBorders>
            <w:shd w:val="clear" w:color="auto" w:fill="E6E6E6"/>
          </w:tcPr>
          <w:p>
            <w:pPr>
              <w:spacing w:after="0"/>
              <w:rPr>
                <w:sz w:val="19"/>
                <w:szCs w:val="1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29,110</w:t>
            </w: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612,327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556,716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Mexico</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99,126</w:t>
            </w: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99,126</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3,390</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Other Americas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205,897</w:t>
            </w:r>
          </w:p>
        </w:tc>
        <w:tc>
          <w:tcPr>
            <w:tcW w:w="24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205,909</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23,302</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140,349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80" w:type="dxa"/>
            <w:vAlign w:val="bottom"/>
            <w:tcBorders>
              <w:right w:val="single" w:sz="8" w:color="E6E6E6"/>
            </w:tcBorders>
            <w:shd w:val="clear" w:color="auto" w:fill="E6E6E6"/>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Americas</w:t>
            </w: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888,240</w:t>
            </w: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right w:val="single" w:sz="8" w:color="E6E6E6"/>
            </w:tcBorders>
            <w:shd w:val="clear" w:color="auto" w:fill="E6E6E6"/>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29,122</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917,362</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169,089</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701,283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Kingdom</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503,463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516,973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Other Europe, Middle East and Africa</w:t>
            </w:r>
          </w:p>
        </w:tc>
        <w:tc>
          <w:tcPr>
            <w:tcW w:w="14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77,859</w:t>
            </w:r>
          </w:p>
        </w:tc>
        <w:tc>
          <w:tcPr>
            <w:tcW w:w="24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bottom w:val="single" w:sz="8" w:color="auto"/>
              <w:right w:val="single" w:sz="8" w:color="E6E6E6"/>
            </w:tcBorders>
            <w:shd w:val="clear" w:color="auto" w:fill="E6E6E6"/>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77,859</w:t>
            </w:r>
          </w:p>
        </w:tc>
        <w:tc>
          <w:tcPr>
            <w:tcW w:w="22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2,598</w:t>
            </w:r>
          </w:p>
        </w:tc>
        <w:tc>
          <w:tcPr>
            <w:tcW w:w="220" w:type="dxa"/>
            <w:vAlign w:val="bottom"/>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EMEA</w:t>
            </w:r>
          </w:p>
        </w:tc>
        <w:tc>
          <w:tcPr>
            <w:tcW w:w="14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581,322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13,510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594,832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35,776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99,403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Asia-Pacific</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316,422</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right w:val="single" w:sz="8" w:color="E6E6E6"/>
            </w:tcBorders>
            <w:shd w:val="clear" w:color="auto" w:fill="E6E6E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32,879</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349,301</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19,152</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20"/>
                <w:szCs w:val="20"/>
                <w:color w:val="auto"/>
              </w:rPr>
              <w:t>Eliminations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(75,511)</w:t>
            </w:r>
          </w:p>
        </w:tc>
        <w:tc>
          <w:tcPr>
            <w:tcW w:w="22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(75,511)</w:t>
            </w:r>
          </w:p>
        </w:tc>
        <w:tc>
          <w:tcPr>
            <w:tcW w:w="22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E6E6E6"/>
            </w:tcBorders>
            <w:shd w:val="clear" w:color="auto" w:fill="E6E6E6"/>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1,785,984</w:t>
            </w:r>
          </w:p>
        </w:tc>
        <w:tc>
          <w:tcPr>
            <w:tcW w:w="240" w:type="dxa"/>
            <w:vAlign w:val="bottom"/>
            <w:tcBorders>
              <w:right w:val="single" w:sz="8" w:color="E6E6E6"/>
            </w:tcBorders>
            <w:shd w:val="clear" w:color="auto" w:fill="E6E6E6"/>
          </w:tcPr>
          <w:p>
            <w:pPr>
              <w:spacing w:after="0"/>
              <w:rPr>
                <w:sz w:val="20"/>
                <w:szCs w:val="20"/>
                <w:color w:val="auto"/>
              </w:rPr>
            </w:pPr>
          </w:p>
        </w:tc>
        <w:tc>
          <w:tcPr>
            <w:tcW w:w="140" w:type="dxa"/>
            <w:vAlign w:val="bottom"/>
            <w:tcBorders>
              <w:bottom w:val="single" w:sz="8" w:color="auto"/>
              <w:right w:val="single" w:sz="8" w:color="E6E6E6"/>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20"/>
                <w:szCs w:val="20"/>
                <w:color w:val="auto"/>
              </w:rPr>
            </w:pPr>
          </w:p>
        </w:tc>
        <w:tc>
          <w:tcPr>
            <w:tcW w:w="1060" w:type="dxa"/>
            <w:vAlign w:val="bottom"/>
            <w:tcBorders>
              <w:bottom w:val="single" w:sz="8" w:color="auto"/>
            </w:tcBorders>
            <w:gridSpan w:val="2"/>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$ 1,785,984</w:t>
            </w:r>
          </w:p>
        </w:tc>
        <w:tc>
          <w:tcPr>
            <w:tcW w:w="22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224,017</w:t>
            </w:r>
          </w:p>
        </w:tc>
        <w:tc>
          <w:tcPr>
            <w:tcW w:w="22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6E6E6"/>
          </w:tcPr>
          <w:p>
            <w:pPr>
              <w:jc w:val="right"/>
              <w:spacing w:after="0" w:line="221" w:lineRule="exact"/>
              <w:rPr>
                <w:sz w:val="20"/>
                <w:szCs w:val="20"/>
                <w:color w:val="auto"/>
              </w:rPr>
            </w:pPr>
            <w:r>
              <w:rPr>
                <w:rFonts w:ascii="Times New Roman" w:cs="Times New Roman" w:eastAsia="Times New Roman" w:hAnsi="Times New Roman"/>
                <w:sz w:val="20"/>
                <w:szCs w:val="20"/>
                <w:color w:val="auto"/>
              </w:rPr>
              <w:t>823,049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-1656715</wp:posOffset>
            </wp:positionV>
            <wp:extent cx="55435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6">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-1363980</wp:posOffset>
            </wp:positionV>
            <wp:extent cx="554355" cy="170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7">
                      <a:extLst>
                        <a:ext uri="{28A0092B-C50C-407E-A947-70E740481C1C}"/>
                      </a:extLst>
                    </a:blip>
                    <a:srcRect/>
                    <a:stretch>
                      <a:fillRect/>
                    </a:stretch>
                  </pic:blipFill>
                  <pic:spPr bwMode="auto">
                    <a:xfrm>
                      <a:off x="0" y="0"/>
                      <a:ext cx="554355" cy="1708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-1066165</wp:posOffset>
            </wp:positionV>
            <wp:extent cx="55435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8">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-773430</wp:posOffset>
            </wp:positionV>
            <wp:extent cx="554355" cy="170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9">
                      <a:extLst>
                        <a:ext uri="{28A0092B-C50C-407E-A947-70E740481C1C}"/>
                      </a:extLst>
                    </a:blip>
                    <a:srcRect/>
                    <a:stretch>
                      <a:fillRect/>
                    </a:stretch>
                  </pic:blipFill>
                  <pic:spPr bwMode="auto">
                    <a:xfrm>
                      <a:off x="0" y="0"/>
                      <a:ext cx="554355" cy="1708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-475615</wp:posOffset>
            </wp:positionV>
            <wp:extent cx="55435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0">
                      <a:extLst>
                        <a:ext uri="{28A0092B-C50C-407E-A947-70E740481C1C}"/>
                      </a:extLst>
                    </a:blip>
                    <a:srcRect/>
                    <a:stretch>
                      <a:fillRect/>
                    </a:stretch>
                  </pic:blipFill>
                  <pic:spPr bwMode="auto">
                    <a:xfrm>
                      <a:off x="0" y="0"/>
                      <a:ext cx="554355" cy="1714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-176530</wp:posOffset>
            </wp:positionV>
            <wp:extent cx="554355" cy="1708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a:extLst>
                        <a:ext uri="{28A0092B-C50C-407E-A947-70E740481C1C}"/>
                      </a:extLst>
                    </a:blip>
                    <a:srcRect/>
                    <a:stretch>
                      <a:fillRect/>
                    </a:stretch>
                  </pic:blipFill>
                  <pic:spPr bwMode="auto">
                    <a:xfrm>
                      <a:off x="0" y="0"/>
                      <a:ext cx="554355" cy="170815"/>
                    </a:xfrm>
                    <a:prstGeom prst="rect">
                      <a:avLst/>
                    </a:prstGeom>
                    <a:noFill/>
                  </pic:spPr>
                </pic:pic>
              </a:graphicData>
            </a:graphic>
          </wp:anchor>
        </w:drawing>
      </w:r>
    </w:p>
    <w:p>
      <w:pPr>
        <w:spacing w:after="0" w:line="191"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Pursuant to ASC 280 Segment Reporting, external revenues are attributed to individual countries based upon the location of our selling entity.</w:t>
      </w:r>
    </w:p>
    <w:p>
      <w:pPr>
        <w:sectPr>
          <w:pgSz w:w="11880" w:h="15480" w:orient="portrait"/>
          <w:cols w:equalWidth="0" w:num="1">
            <w:col w:w="10800"/>
          </w:cols>
          <w:pgMar w:left="540" w:top="846" w:right="5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1880" w:h="15480" w:orient="portrait"/>
          <w:cols w:equalWidth="0" w:num="1">
            <w:col w:w="10800"/>
          </w:cols>
          <w:pgMar w:left="540" w:top="846" w:right="540" w:bottom="7"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SUPPLEMENTARY DATA</w:t>
      </w:r>
    </w:p>
    <w:p>
      <w:pPr>
        <w:spacing w:after="0" w:line="2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UNAUDITED QUARTERLY RESULTS</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present unaudited quarterly financial information for the four quarters in the fiscal years ended June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2026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Quarter Ended</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120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3"/>
                <w:szCs w:val="13"/>
                <w:color w:val="auto"/>
              </w:rPr>
            </w:pPr>
          </w:p>
        </w:tc>
        <w:tc>
          <w:tcPr>
            <w:tcW w:w="76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50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tcBorders>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revenues</w:t>
            </w:r>
          </w:p>
        </w:tc>
        <w:tc>
          <w:tcPr>
            <w:tcW w:w="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344,007</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419,820</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444,354</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504,985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Costs of goods sold</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222,505</w:t>
            </w:r>
          </w:p>
        </w:tc>
        <w:tc>
          <w:tcPr>
            <w:tcW w:w="18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272,669</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294,063</w:t>
            </w: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right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121,502</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147,151</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150,291</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168,238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72,223</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70,722</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73,249</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74,685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Impairment, restructuring and other charges</w:t>
            </w:r>
          </w:p>
        </w:tc>
        <w:tc>
          <w:tcPr>
            <w:tcW w:w="20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2,255</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91,174</w:t>
            </w:r>
          </w:p>
        </w:tc>
        <w:tc>
          <w:tcPr>
            <w:tcW w:w="18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89,194</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94,074</w:t>
            </w: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95,216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from operations</w:t>
            </w:r>
          </w:p>
        </w:tc>
        <w:tc>
          <w:tcPr>
            <w:tcW w:w="20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30,328</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57,957</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56,217</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expense, net</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(7,359)</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(8,619)</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(8,228)</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00" w:type="dxa"/>
            <w:vAlign w:val="bottom"/>
            <w:tcBorders>
              <w:top w:val="single" w:sz="8" w:color="E6E6E6"/>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before income taxes</w:t>
            </w:r>
          </w:p>
        </w:tc>
        <w:tc>
          <w:tcPr>
            <w:tcW w:w="20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22,969</w:t>
            </w: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7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49,338</w:t>
            </w:r>
          </w:p>
        </w:tc>
        <w:tc>
          <w:tcPr>
            <w:tcW w:w="20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47,989</w:t>
            </w: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65,798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(11,519)</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(6,855)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E6E6E6"/>
            </w:tcBorders>
            <w:shd w:val="clear" w:color="auto" w:fill="E6E6E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0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17,936</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37,819</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41,134</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52,748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200" w:type="dxa"/>
            <w:vAlign w:val="bottom"/>
            <w:tcBorders>
              <w:bottom w:val="single" w:sz="8" w:color="E6E6E6"/>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18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00" w:type="dxa"/>
            <w:vAlign w:val="bottom"/>
            <w:tcBorders>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20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Borders>
              <w:right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00" w:type="dxa"/>
            <w:vAlign w:val="bottom"/>
            <w:tcBorders>
              <w:right w:val="single" w:sz="8" w:color="E6E6E6"/>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180" w:type="dxa"/>
            <w:vAlign w:val="bottom"/>
            <w:tcBorders>
              <w:right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Quarter Ended</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120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3"/>
                <w:szCs w:val="13"/>
                <w:color w:val="auto"/>
              </w:rPr>
            </w:pPr>
          </w:p>
        </w:tc>
        <w:tc>
          <w:tcPr>
            <w:tcW w:w="76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50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tcBorders>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revenues</w:t>
            </w:r>
          </w:p>
        </w:tc>
        <w:tc>
          <w:tcPr>
            <w:tcW w:w="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384,623</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464,057</w:t>
            </w:r>
          </w:p>
        </w:tc>
        <w:tc>
          <w:tcPr>
            <w:tcW w:w="200" w:type="dxa"/>
            <w:vAlign w:val="bottom"/>
            <w:tcBorders>
              <w:right w:val="single" w:sz="8" w:color="E6E6E6"/>
            </w:tcBorders>
            <w:shd w:val="clear" w:color="auto" w:fill="E6E6E6"/>
          </w:tcPr>
          <w:p>
            <w:pPr>
              <w:spacing w:after="0"/>
              <w:rPr>
                <w:sz w:val="20"/>
                <w:szCs w:val="20"/>
                <w:color w:val="auto"/>
              </w:rPr>
            </w:pPr>
          </w:p>
        </w:tc>
        <w:tc>
          <w:tcPr>
            <w:tcW w:w="8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$ 453,246</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484,058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Costs of goods sold</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261,438</w:t>
            </w:r>
          </w:p>
        </w:tc>
        <w:tc>
          <w:tcPr>
            <w:tcW w:w="18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312,428</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302,922</w:t>
            </w: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right w:val="single" w:sz="8" w:color="E6E6E6"/>
            </w:tcBorders>
            <w:shd w:val="clear" w:color="auto" w:fill="E6E6E6"/>
          </w:tcPr>
          <w:p>
            <w:pPr>
              <w:ind w:left="120"/>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123,185</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151,629</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150,324</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167,954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shd w:val="clear" w:color="auto" w:fill="E6E6E6"/>
          </w:tcPr>
          <w:p>
            <w:pPr>
              <w:spacing w:after="0"/>
              <w:rPr>
                <w:sz w:val="20"/>
                <w:szCs w:val="20"/>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66,955</w:t>
            </w:r>
          </w:p>
        </w:tc>
        <w:tc>
          <w:tcPr>
            <w:tcW w:w="180" w:type="dxa"/>
            <w:vAlign w:val="bottom"/>
            <w:tcBorders>
              <w:right w:val="single" w:sz="8" w:color="E6E6E6"/>
            </w:tcBorders>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70,201</w:t>
            </w:r>
          </w:p>
        </w:tc>
        <w:tc>
          <w:tcPr>
            <w:tcW w:w="200" w:type="dxa"/>
            <w:vAlign w:val="bottom"/>
            <w:tcBorders>
              <w:right w:val="single" w:sz="8" w:color="E6E6E6"/>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71,487</w:t>
            </w:r>
          </w:p>
        </w:tc>
        <w:tc>
          <w:tcPr>
            <w:tcW w:w="180" w:type="dxa"/>
            <w:vAlign w:val="bottom"/>
            <w:tcBorders>
              <w:right w:val="single" w:sz="8" w:color="E6E6E6"/>
            </w:tcBorders>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69,747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Borders>
              <w:right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Impairment, restructuring and other charges</w:t>
            </w:r>
          </w:p>
        </w:tc>
        <w:tc>
          <w:tcPr>
            <w:tcW w:w="20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2,730</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2,874</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6,168</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90,112</w:t>
            </w:r>
          </w:p>
        </w:tc>
        <w:tc>
          <w:tcPr>
            <w:tcW w:w="18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92,834</w:t>
            </w:r>
          </w:p>
        </w:tc>
        <w:tc>
          <w:tcPr>
            <w:tcW w:w="2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97,110</w:t>
            </w: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94,066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from operations</w:t>
            </w:r>
          </w:p>
        </w:tc>
        <w:tc>
          <w:tcPr>
            <w:tcW w:w="20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33,073</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58,795</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53,214</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73,888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expense, net</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(7,398)</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(10,713)</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(3,995)</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00" w:type="dxa"/>
            <w:vAlign w:val="bottom"/>
            <w:tcBorders>
              <w:top w:val="single" w:sz="8" w:color="E6E6E6"/>
              <w:right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before income taxes</w:t>
            </w:r>
          </w:p>
        </w:tc>
        <w:tc>
          <w:tcPr>
            <w:tcW w:w="20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25,675</w:t>
            </w: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78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48,082</w:t>
            </w:r>
          </w:p>
        </w:tc>
        <w:tc>
          <w:tcPr>
            <w:tcW w:w="200" w:type="dxa"/>
            <w:vAlign w:val="bottom"/>
            <w:tcBorders>
              <w:top w:val="single" w:sz="8" w:color="E6E6E6"/>
              <w:right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74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49,219</w:t>
            </w:r>
          </w:p>
        </w:tc>
        <w:tc>
          <w:tcPr>
            <w:tcW w:w="180" w:type="dxa"/>
            <w:vAlign w:val="bottom"/>
            <w:tcBorders>
              <w:top w:val="single" w:sz="8" w:color="E6E6E6"/>
              <w:right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760" w:type="dxa"/>
            <w:vAlign w:val="bottom"/>
            <w:tcBorders>
              <w:top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69,770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(9,383)</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(9,003)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E6E6E6"/>
            </w:tcBorders>
            <w:shd w:val="clear" w:color="auto" w:fill="E6E6E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00" w:type="dxa"/>
            <w:vAlign w:val="bottom"/>
            <w:tcBorders>
              <w:right w:val="single" w:sz="8" w:color="E6E6E6"/>
            </w:tcBorders>
            <w:vMerge w:val="continue"/>
            <w:shd w:val="clear" w:color="auto" w:fill="E6E6E6"/>
          </w:tcPr>
          <w:p>
            <w:pPr>
              <w:spacing w:after="0"/>
              <w:rPr>
                <w:sz w:val="19"/>
                <w:szCs w:val="19"/>
                <w:color w:val="auto"/>
              </w:rPr>
            </w:pPr>
          </w:p>
        </w:tc>
        <w:tc>
          <w:tcPr>
            <w:tcW w:w="200" w:type="dxa"/>
            <w:vAlign w:val="bottom"/>
            <w:shd w:val="clear" w:color="auto" w:fill="E6E6E6"/>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20,556</w:t>
            </w:r>
          </w:p>
        </w:tc>
        <w:tc>
          <w:tcPr>
            <w:tcW w:w="180" w:type="dxa"/>
            <w:vAlign w:val="bottom"/>
            <w:tcBorders>
              <w:right w:val="single" w:sz="8" w:color="E6E6E6"/>
            </w:tcBorders>
            <w:shd w:val="clear" w:color="auto" w:fill="E6E6E6"/>
          </w:tcPr>
          <w:p>
            <w:pPr>
              <w:spacing w:after="0"/>
              <w:rPr>
                <w:sz w:val="19"/>
                <w:szCs w:val="19"/>
                <w:color w:val="auto"/>
              </w:rPr>
            </w:pPr>
          </w:p>
        </w:tc>
        <w:tc>
          <w:tcPr>
            <w:tcW w:w="180" w:type="dxa"/>
            <w:vAlign w:val="bottom"/>
            <w:shd w:val="clear" w:color="auto" w:fill="E6E6E6"/>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38,699</w:t>
            </w:r>
          </w:p>
        </w:tc>
        <w:tc>
          <w:tcPr>
            <w:tcW w:w="200" w:type="dxa"/>
            <w:vAlign w:val="bottom"/>
            <w:tcBorders>
              <w:right w:val="single" w:sz="8" w:color="E6E6E6"/>
            </w:tcBorders>
            <w:shd w:val="clear" w:color="auto" w:fill="E6E6E6"/>
          </w:tcPr>
          <w:p>
            <w:pPr>
              <w:spacing w:after="0"/>
              <w:rPr>
                <w:sz w:val="19"/>
                <w:szCs w:val="19"/>
                <w:color w:val="auto"/>
              </w:rPr>
            </w:pPr>
          </w:p>
        </w:tc>
        <w:tc>
          <w:tcPr>
            <w:tcW w:w="14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40,216</w:t>
            </w:r>
          </w:p>
        </w:tc>
        <w:tc>
          <w:tcPr>
            <w:tcW w:w="180" w:type="dxa"/>
            <w:vAlign w:val="bottom"/>
            <w:tcBorders>
              <w:right w:val="single" w:sz="8" w:color="E6E6E6"/>
            </w:tcBorders>
            <w:shd w:val="clear" w:color="auto" w:fill="E6E6E6"/>
          </w:tcPr>
          <w:p>
            <w:pPr>
              <w:spacing w:after="0"/>
              <w:rPr>
                <w:sz w:val="19"/>
                <w:szCs w:val="19"/>
                <w:color w:val="auto"/>
              </w:rPr>
            </w:pPr>
          </w:p>
        </w:tc>
        <w:tc>
          <w:tcPr>
            <w:tcW w:w="12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6E6E6"/>
          </w:tcPr>
          <w:p>
            <w:pPr>
              <w:jc w:val="right"/>
              <w:spacing w:after="0" w:line="219" w:lineRule="exact"/>
              <w:rPr>
                <w:sz w:val="20"/>
                <w:szCs w:val="20"/>
                <w:color w:val="auto"/>
              </w:rPr>
            </w:pPr>
            <w:r>
              <w:rPr>
                <w:rFonts w:ascii="Times New Roman" w:cs="Times New Roman" w:eastAsia="Times New Roman" w:hAnsi="Times New Roman"/>
                <w:sz w:val="20"/>
                <w:szCs w:val="20"/>
                <w:color w:val="auto"/>
              </w:rPr>
              <w:t>55,240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80" w:type="dxa"/>
            <w:vAlign w:val="bottom"/>
            <w:tcBorders>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200" w:type="dxa"/>
            <w:vAlign w:val="bottom"/>
            <w:tcBorders>
              <w:bottom w:val="single" w:sz="8" w:color="E6E6E6"/>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180" w:type="dxa"/>
            <w:vAlign w:val="bottom"/>
            <w:tcBorders>
              <w:bottom w:val="single" w:sz="8" w:color="E6E6E6"/>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00" w:type="dxa"/>
            <w:vAlign w:val="bottom"/>
            <w:tcBorders>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20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80" w:type="dxa"/>
            <w:vAlign w:val="bottom"/>
            <w:tcBorders>
              <w:right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00" w:type="dxa"/>
            <w:vAlign w:val="bottom"/>
            <w:tcBorders>
              <w:right w:val="single" w:sz="8" w:color="E6E6E6"/>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tcBorders>
              <w:right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F-47</w:t>
      </w:r>
    </w:p>
    <w:p>
      <w:pPr>
        <w:sectPr>
          <w:pgSz w:w="11880" w:h="15480" w:orient="portrait"/>
          <w:cols w:equalWidth="0" w:num="1">
            <w:col w:w="10800"/>
          </w:cols>
          <w:pgMar w:left="540" w:top="1369" w:right="540"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0" w:type="dxa"/>
            <w:vAlign w:val="bottom"/>
          </w:tcPr>
          <w:p>
            <w:pPr>
              <w:ind w:left="3200"/>
              <w:spacing w:after="0"/>
              <w:rPr>
                <w:sz w:val="20"/>
                <w:szCs w:val="20"/>
                <w:color w:val="auto"/>
              </w:rPr>
            </w:pPr>
            <w:r>
              <w:rPr>
                <w:rFonts w:ascii="Times New Roman" w:cs="Times New Roman" w:eastAsia="Times New Roman" w:hAnsi="Times New Roman"/>
                <w:sz w:val="20"/>
                <w:szCs w:val="20"/>
                <w:b w:val="1"/>
                <w:bCs w:val="1"/>
                <w:color w:val="auto"/>
              </w:rPr>
              <w:t>INDEX TO EXHIBITS</w:t>
            </w:r>
          </w:p>
        </w:tc>
      </w:tr>
      <w:tr>
        <w:trPr>
          <w:trHeight w:val="436"/>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4"/>
                <w:szCs w:val="24"/>
                <w:color w:val="auto"/>
              </w:rPr>
            </w:pPr>
          </w:p>
        </w:tc>
        <w:tc>
          <w:tcPr>
            <w:tcW w:w="9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of OSI Systems, Inc. (1)</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of OSI Systems, Inc. (16)</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Common Stock Certificate (1)</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Indenture, dated as of July 19, 2024, between OSI Systems, Inc. and U.S. Bank Trust Company, National Association, as trustee.</w:t>
            </w:r>
          </w:p>
        </w:tc>
      </w:tr>
      <w:tr>
        <w:trPr>
          <w:trHeight w:val="240"/>
        </w:trPr>
        <w:tc>
          <w:tcPr>
            <w:tcW w:w="980" w:type="dxa"/>
            <w:vAlign w:val="bottom"/>
          </w:tcPr>
          <w:p>
            <w:pPr>
              <w:spacing w:after="0"/>
              <w:rPr>
                <w:sz w:val="20"/>
                <w:szCs w:val="20"/>
                <w:color w:val="auto"/>
              </w:rPr>
            </w:pP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certificate representing the 2.25% Convertible Senior Notes due 2029 (included as Exhibit A to Exhibit 4.2). (11)</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Indenture dated as of November 20, 2025 between OSI Systems, Inc. And U.S. Bank Trust Company, National Association, as</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trustee (20)</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certificate representing the 0.50% Convertible Senior Notes due 2031 (included as Exhibit A to Exhibit 4.4) (20)</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Description of Capital Stock</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Second Amended and Restated OSI Systems, Inc. Deferred Compensation Plan (2)</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Second Amended and Restated OSI Systems, Inc. Deferred Compensation Plan</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OSI Systems, Inc. Nonqualified Defined Benefit Plan (3)</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OSI Systems, Inc. 2008 Employee Stock Purchase Plan (4)</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Amended and Restated OSI Systems, Inc. 2008 Employee Stock Purchase Plan (12)</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 for Directors and Executive Officers of OSI Systems, Inc. (5)</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Ninth Amendment to Credit Agreement dated July 1, 2025 between Wells Fargo Bank, N.A. and OSI Systems, Inc. (15)</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Employment Agreement dated April 29, 2024 between Alan Edrick and OSI Systems, Inc. (10)</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Employment Agreement dated April 29, 2024 between Ajay Mehra and OSI Systems, Inc. (10)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Amendment dated December 12, 2024 to Amended and Restated Employment Agreement between Ajay Mehra and OSI Systems,</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Inc. (18)</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Employment Agreement dated April 29, 2024 between Victor Sze and OSI Systems, Inc. (10)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Retirement Benefit Award Agreement effective as of December 31, 2017 by and between Deepak Chopra</w:t>
            </w:r>
          </w:p>
        </w:tc>
      </w:tr>
      <w:tr>
        <w:trPr>
          <w:trHeight w:val="240"/>
        </w:trPr>
        <w:tc>
          <w:tcPr>
            <w:tcW w:w="980" w:type="dxa"/>
            <w:vAlign w:val="bottom"/>
          </w:tcPr>
          <w:p>
            <w:pPr>
              <w:spacing w:after="0"/>
              <w:rPr>
                <w:sz w:val="20"/>
                <w:szCs w:val="20"/>
                <w:color w:val="auto"/>
              </w:rPr>
            </w:pP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OSI Systems, Inc. (6)</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Amended and Restated Retirement Benefit Award Agreement effective as of June 19, 2020 by and between</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Deepak Chopra and OSI Systems, Inc. (13)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Amended and Restated Retirement Benefit Award Agreement effective as of August 19, 2020 by and</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between Deepak Chopra and OSI Systems, Inc.(13)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Amended and Restated Retirement Benefit Award Agreement effective as of October 27, 2021 by and between</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Deepak Chopra and OSI Systems, Inc. (14)</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2025 Amendment to Amended and Restated Retirement Benefit Award Agreement effective as of December 23, 2025 by and</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between Deepak Chopra and OSI Systems, Inc.</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OSI Systems, Inc. 2012 Incentive Award Plan (7)</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Amended and Restated OSI Systems, Inc. 2012 Incentive Award Plan (17)</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Award Agreement (8)</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Restricted Stock Unit Award Agreement (8)</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(8)</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OSI Systems, Inc. Code of Ethics and Conduct effective May 1, 2026 (9)</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Preferability Letter of Grant Thornton LLP Regarding Change in Accounting Principle.</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OSI Systems, Inc. Insider Trading Policy</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3"/>
                <w:szCs w:val="23"/>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Power of Attorney (included on the signature page of this Form 10-K)</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906</w:t>
            </w: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906</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Policy for Recovery of Erroneously Awarded Compensation (19)</w:t>
            </w:r>
          </w:p>
        </w:tc>
      </w:tr>
    </w:tbl>
    <w:p>
      <w:pPr>
        <w:sectPr>
          <w:pgSz w:w="11880" w:h="15480" w:orient="portrait"/>
          <w:cols w:equalWidth="0" w:num="1">
            <w:col w:w="10800"/>
          </w:cols>
          <w:pgMar w:left="540" w:top="1345" w:right="540" w:bottom="351"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19"/>
                <w:szCs w:val="19"/>
                <w:color w:val="auto"/>
              </w:rPr>
            </w:pPr>
          </w:p>
        </w:tc>
        <w:tc>
          <w:tcPr>
            <w:tcW w:w="9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101.1</w:t>
            </w:r>
          </w:p>
        </w:tc>
        <w:tc>
          <w:tcPr>
            <w:tcW w:w="9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June 30, 2026 formatted</w:t>
            </w:r>
          </w:p>
        </w:tc>
      </w:tr>
      <w:tr>
        <w:trPr>
          <w:trHeight w:val="24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XBRL (eXtensible Business Reporting Language) as follows:</w:t>
            </w:r>
          </w:p>
        </w:tc>
      </w:tr>
      <w:tr>
        <w:trPr>
          <w:trHeight w:val="268"/>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the consolidated balance sheets</w:t>
            </w:r>
          </w:p>
        </w:tc>
      </w:tr>
      <w:tr>
        <w:trPr>
          <w:trHeight w:val="266"/>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the consolidated statements of operations</w:t>
            </w:r>
          </w:p>
        </w:tc>
      </w:tr>
      <w:tr>
        <w:trPr>
          <w:trHeight w:val="268"/>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consolidated statements of comprehensive income</w:t>
            </w:r>
          </w:p>
        </w:tc>
      </w:tr>
      <w:tr>
        <w:trPr>
          <w:trHeight w:val="266"/>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consolidated statements of stockholders’ equity</w:t>
            </w:r>
          </w:p>
        </w:tc>
      </w:tr>
      <w:tr>
        <w:trPr>
          <w:trHeight w:val="268"/>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  the consolidated statements of cash flows</w:t>
            </w:r>
          </w:p>
        </w:tc>
      </w:tr>
      <w:tr>
        <w:trPr>
          <w:trHeight w:val="266"/>
        </w:trPr>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notes to the consolidated financial statements, tagged in summary and detail</w:t>
            </w:r>
          </w:p>
        </w:tc>
      </w:tr>
    </w:tbl>
    <w:p>
      <w:pPr>
        <w:spacing w:after="0" w:line="27" w:lineRule="exact"/>
        <w:rPr>
          <w:sz w:val="20"/>
          <w:szCs w:val="20"/>
          <w:color w:val="auto"/>
        </w:rPr>
      </w:pPr>
    </w:p>
    <w:p>
      <w:pPr>
        <w:ind w:left="1200" w:right="140" w:hanging="1200"/>
        <w:spacing w:after="0" w:line="278" w:lineRule="auto"/>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113665</wp:posOffset>
                </wp:positionV>
                <wp:extent cx="171386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95pt" to="134.9pt,8.95pt" o:allowincell="f" strokecolor="#000000" strokeweight="1.0199pt"/>
            </w:pict>
          </mc:Fallback>
        </mc:AlternateContent>
      </w:r>
    </w:p>
    <w:p>
      <w:pPr>
        <w:spacing w:after="0" w:line="206" w:lineRule="exact"/>
        <w:rPr>
          <w:sz w:val="20"/>
          <w:szCs w:val="20"/>
          <w:color w:val="auto"/>
        </w:rPr>
      </w:pPr>
    </w:p>
    <w:p>
      <w:pPr>
        <w:ind w:left="720" w:hanging="720"/>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240" w:lineRule="exact"/>
        <w:rPr>
          <w:sz w:val="20"/>
          <w:szCs w:val="20"/>
          <w:color w:val="auto"/>
        </w:rPr>
      </w:pPr>
    </w:p>
    <w:p>
      <w:pPr>
        <w:ind w:left="720" w:hanging="720"/>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41" w:lineRule="exact"/>
        <w:rPr>
          <w:sz w:val="20"/>
          <w:szCs w:val="20"/>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March 8, 2010.</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January 26, 2024.</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October 10, 2008.</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October 24, 2014.</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Annual Report on Form 10-K filed on August 27, 2010.</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January 5, 2018.</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Proxy Statement on Schedule 14A filed on October 21, 2020.</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Registration Statement on Form S-8 filed on August 16, 2013.</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May 4, 2026.</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April 30, 2024.</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July 19, 2024.</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Proxy Statement on Schedule 14A filed on October 21, 2016.</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Annual Report on Form 10-K filed on August 21, 2020.</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October 29, 2021.</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July 2, 2025.</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Quarterly Report on Form 10-Q filed on January 27, 2023.</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Proxy Statement on Schedule 14A filed on October 27, 2023.</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December 13, 2024.</w:t>
      </w:r>
    </w:p>
    <w:p>
      <w:pPr>
        <w:spacing w:after="0" w:line="240"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Annual Report on Form 10-K filed on August 29, 2024.</w:t>
      </w:r>
    </w:p>
    <w:p>
      <w:pPr>
        <w:spacing w:after="0" w:line="239" w:lineRule="exact"/>
        <w:rPr>
          <w:rFonts w:ascii="Times New Roman" w:cs="Times New Roman" w:eastAsia="Times New Roman" w:hAnsi="Times New Roman"/>
          <w:sz w:val="16"/>
          <w:szCs w:val="16"/>
          <w:color w:val="auto"/>
        </w:rPr>
      </w:pPr>
    </w:p>
    <w:p>
      <w:pPr>
        <w:ind w:left="720" w:hanging="720"/>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our Current Report on Form 8-K filed on November 20, 2025.</w:t>
      </w:r>
    </w:p>
    <w:p>
      <w:pPr>
        <w:sectPr>
          <w:pgSz w:w="11880" w:h="15480" w:orient="portrait"/>
          <w:cols w:equalWidth="0" w:num="1">
            <w:col w:w="10800"/>
          </w:cols>
          <w:pgMar w:left="540" w:top="1369" w:right="5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OSI SYSTEMS, INC.</w:t>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(Registrant)</w:t>
      </w:r>
    </w:p>
    <w:p>
      <w:pPr>
        <w:spacing w:after="0" w:line="202" w:lineRule="exact"/>
        <w:rPr>
          <w:sz w:val="20"/>
          <w:szCs w:val="20"/>
          <w:color w:val="auto"/>
        </w:rPr>
      </w:pPr>
    </w:p>
    <w:p>
      <w:pPr>
        <w:spacing w:after="0"/>
        <w:tabs>
          <w:tab w:leader="none" w:pos="5380" w:val="left"/>
          <w:tab w:leader="none" w:pos="7460" w:val="left"/>
        </w:tabs>
        <w:rPr>
          <w:sz w:val="20"/>
          <w:szCs w:val="20"/>
          <w:color w:val="auto"/>
        </w:rPr>
      </w:pPr>
      <w:r>
        <w:rPr>
          <w:rFonts w:ascii="Times New Roman" w:cs="Times New Roman" w:eastAsia="Times New Roman" w:hAnsi="Times New Roman"/>
          <w:sz w:val="20"/>
          <w:szCs w:val="20"/>
          <w:color w:val="auto"/>
        </w:rPr>
        <w:t>Date: August 21,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ALAN EDRICK</w:t>
      </w:r>
    </w:p>
    <w:p>
      <w:pPr>
        <w:spacing w:after="0" w:line="3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b w:val="1"/>
          <w:bCs w:val="1"/>
          <w:color w:val="auto"/>
        </w:rPr>
        <w:t>Alan Edrick,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3639185</wp:posOffset>
                </wp:positionH>
                <wp:positionV relativeFrom="paragraph">
                  <wp:posOffset>-140970</wp:posOffset>
                </wp:positionV>
                <wp:extent cx="321881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88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55pt,-11.0999pt" to="540pt,-11.0999pt" o:allowincell="f" strokecolor="#000000" strokeweight="0.4799pt"/>
            </w:pict>
          </mc:Fallback>
        </mc:AlternateContent>
      </w:r>
    </w:p>
    <w:p>
      <w:pPr>
        <w:spacing w:after="0" w:line="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20"/>
          <w:szCs w:val="20"/>
          <w:b w:val="1"/>
          <w:bCs w:val="1"/>
          <w:color w:val="auto"/>
        </w:rPr>
        <w:t>Executive Vice President &amp; Chief Financial Officer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721"/>
        <w:spacing w:after="0" w:line="246"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does hereby constitute and appoint Ajay Mehra, Alan Edrick and Victor Sze, and each of them singly, our true and lawful attorneys with full power to them, and each of them singly, to sign for us and in our names in the capacities indicated below, the Form 10-K filed herewith and any and all amendments to said Form 10-K, and generally to do all such things in our names and in our capacities as officers and directors to enable OSI Systems, Inc. to comply with the provisions of the Securities Exchange Act of 1934, as amended, and all requirements of the Securities and Exchange Commission in connection therewith, hereby ratifying and confirming our signatures as they may be signed by our said attorneys, or any of them, to said Form 10-K and any and all amendments thereto.</w:t>
      </w:r>
    </w:p>
    <w:p>
      <w:pPr>
        <w:spacing w:after="0" w:line="201"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800"/>
          </w:cols>
          <w:pgMar w:left="540" w:top="1347" w:right="540" w:bottom="1440" w:gutter="0" w:footer="0" w:header="0"/>
        </w:sectPr>
      </w:pPr>
    </w:p>
    <w:p>
      <w:pPr>
        <w:spacing w:after="0" w:line="1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21812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171.75pt,2.35pt" o:allowincell="f" strokecolor="#000000" strokeweight="0.4799pt"/>
            </w:pict>
          </mc:Fallback>
        </mc:AlternateContent>
      </w:r>
    </w:p>
    <w:p>
      <w:pPr>
        <w:spacing w:after="0" w:line="29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AJAY MEHRA</w:t>
      </w:r>
    </w:p>
    <w:p>
      <w:pPr>
        <w:spacing w:after="0" w:line="3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Ajay Mehra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21812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999pt" to="171.75pt,-11.0999pt" o:allowincell="f" strokecolor="#000000" strokeweight="0.48pt"/>
            </w:pict>
          </mc:Fallback>
        </mc:AlternateContent>
      </w:r>
    </w:p>
    <w:p>
      <w:pPr>
        <w:spacing w:after="0" w:line="25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DEEPAK CHOPRA</w:t>
      </w:r>
    </w:p>
    <w:p>
      <w:pPr>
        <w:spacing w:after="0" w:line="3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Deepak Chopra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21812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999pt" to="171.75pt,-11.0999pt" o:allowincell="f" strokecolor="#000000" strokeweight="0.48pt"/>
            </w:pict>
          </mc:Fallback>
        </mc:AlternateContent>
      </w:r>
    </w:p>
    <w:p>
      <w:pPr>
        <w:spacing w:after="0" w:line="25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ALAN EDRICK</w:t>
      </w:r>
    </w:p>
    <w:p>
      <w:pPr>
        <w:spacing w:after="0" w:line="3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Alan Edrick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21812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499pt" to="171.75pt,-11.1499pt" o:allowincell="f" strokecolor="#000000" strokeweight="0.48pt"/>
            </w:pict>
          </mc:Fallback>
        </mc:AlternateContent>
      </w:r>
    </w:p>
    <w:p>
      <w:pPr>
        <w:spacing w:after="0" w:line="25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CARY OKAWA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21812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171.75pt,1.2pt" o:allowincell="f" strokecolor="#000000" strokeweight="0.48pt"/>
            </w:pict>
          </mc:Fallback>
        </mc:AlternateContent>
      </w:r>
    </w:p>
    <w:p>
      <w:pPr>
        <w:spacing w:after="0" w:line="1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Cary Okawa</w:t>
      </w:r>
    </w:p>
    <w:p>
      <w:pPr>
        <w:spacing w:after="0" w:line="15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WILLIAM F. BALLHAUS, JR.</w:t>
      </w:r>
    </w:p>
    <w:p>
      <w:pPr>
        <w:spacing w:after="0" w:line="3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William F. Ballhaus,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21812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499pt" to="171.75pt,-11.1499pt" o:allowincell="f" strokecolor="#000000" strokeweight="0.48pt"/>
            </w:pict>
          </mc:Fallback>
        </mc:AlternateContent>
      </w:r>
    </w:p>
    <w:p>
      <w:pPr>
        <w:spacing w:after="0" w:line="15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KELLI BERNARD</w:t>
      </w:r>
    </w:p>
    <w:p>
      <w:pPr>
        <w:spacing w:after="0" w:line="3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Kelli Bernard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218122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999pt" to="171.75pt,-11.0999pt" o:allowincell="f" strokecolor="#000000" strokeweight="0.48pt"/>
            </w:pict>
          </mc:Fallback>
        </mc:AlternateContent>
      </w:r>
    </w:p>
    <w:p>
      <w:pPr>
        <w:spacing w:after="0" w:line="15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GERALD CHIZEVER</w:t>
      </w:r>
    </w:p>
    <w:p>
      <w:pPr>
        <w:spacing w:after="0" w:line="3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Gerald Chizever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21812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999pt" to="171.75pt,-11.0999pt" o:allowincell="f" strokecolor="#000000" strokeweight="0.48pt"/>
            </w:pict>
          </mc:Fallback>
        </mc:AlternateContent>
      </w:r>
    </w:p>
    <w:p>
      <w:pPr>
        <w:spacing w:after="0" w:line="15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color w:val="auto"/>
        </w:rPr>
        <w:t>/s/ JAMES B. HAWKINS</w:t>
      </w:r>
    </w:p>
    <w:p>
      <w:pPr>
        <w:spacing w:after="0" w:line="3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James B. Hawkins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21812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499pt" to="171.75pt,-11.1499pt" o:allowincell="f" strokecolor="#000000" strokeweight="0.48pt"/>
            </w:pict>
          </mc:Fallback>
        </mc:AlternateConten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6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40" w:type="dxa"/>
            <w:vAlign w:val="bottom"/>
          </w:tcPr>
          <w:p>
            <w:pPr>
              <w:spacing w:after="0"/>
              <w:rPr>
                <w:sz w:val="23"/>
                <w:szCs w:val="23"/>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38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2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267"/>
        </w:trPr>
        <w:tc>
          <w:tcPr>
            <w:tcW w:w="4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w:t>
            </w:r>
          </w:p>
        </w:tc>
        <w:tc>
          <w:tcPr>
            <w:tcW w:w="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50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w:t>
            </w: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Officer (Principal</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267"/>
        </w:trPr>
        <w:tc>
          <w:tcPr>
            <w:tcW w:w="4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Officer)</w:t>
            </w:r>
          </w:p>
        </w:tc>
        <w:tc>
          <w:tcPr>
            <w:tcW w:w="2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Chief Accounting Officer (Principal</w:t>
            </w:r>
          </w:p>
        </w:tc>
        <w:tc>
          <w:tcPr>
            <w:tcW w:w="240" w:type="dxa"/>
            <w:vAlign w:val="bottom"/>
          </w:tcPr>
          <w:p>
            <w:pPr>
              <w:spacing w:after="0"/>
              <w:rPr>
                <w:sz w:val="24"/>
                <w:szCs w:val="24"/>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151"/>
        </w:trPr>
        <w:tc>
          <w:tcPr>
            <w:tcW w:w="46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Accounting Officer)</w:t>
            </w:r>
          </w:p>
        </w:tc>
        <w:tc>
          <w:tcPr>
            <w:tcW w:w="24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0"/>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673"/>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675"/>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r>
        <w:trPr>
          <w:trHeight w:val="67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21, 2026</w:t>
            </w:r>
          </w:p>
        </w:tc>
        <w:tc>
          <w:tcPr>
            <w:tcW w:w="0" w:type="dxa"/>
            <w:vAlign w:val="bottom"/>
          </w:tcPr>
          <w:p>
            <w:pPr>
              <w:spacing w:after="0"/>
              <w:rPr>
                <w:sz w:val="1"/>
                <w:szCs w:val="1"/>
                <w:color w:val="auto"/>
              </w:rPr>
            </w:pPr>
          </w:p>
        </w:tc>
      </w:tr>
    </w:tbl>
    <w:p>
      <w:pPr>
        <w:sectPr>
          <w:pgSz w:w="11880" w:h="15480" w:orient="portrait"/>
          <w:cols w:equalWidth="0" w:num="2">
            <w:col w:w="3120" w:space="560"/>
            <w:col w:w="7120"/>
          </w:cols>
          <w:pgMar w:left="540" w:top="1347" w:right="540"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37"/>
          <w:szCs w:val="37"/>
          <w:color w:val="3E89C0"/>
        </w:rPr>
        <w:t>CORPORATE INFORMATION</w:t>
      </w:r>
    </w:p>
    <w:p>
      <w:pPr>
        <w:sectPr>
          <w:pgSz w:w="11880" w:h="15480" w:orient="portrait"/>
          <w:cols w:equalWidth="0" w:num="1">
            <w:col w:w="9980"/>
          </w:cols>
          <w:pgMar w:left="900" w:top="811" w:right="10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3E89C0"/>
        </w:rPr>
        <w:t>BOARD OF DIRECTORS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Deepak Chopra</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Ajay Mehra</w:t>
      </w:r>
    </w:p>
    <w:p>
      <w:pPr>
        <w:spacing w:after="0" w:line="53" w:lineRule="exact"/>
        <w:rPr>
          <w:sz w:val="20"/>
          <w:szCs w:val="20"/>
          <w:color w:val="auto"/>
        </w:rPr>
      </w:pPr>
    </w:p>
    <w:p>
      <w:pPr>
        <w:ind w:left="40" w:right="120"/>
        <w:spacing w:after="0" w:line="322" w:lineRule="auto"/>
        <w:rPr>
          <w:sz w:val="20"/>
          <w:szCs w:val="20"/>
          <w:color w:val="auto"/>
        </w:rPr>
      </w:pPr>
      <w:r>
        <w:rPr>
          <w:rFonts w:ascii="Arial" w:cs="Arial" w:eastAsia="Arial" w:hAnsi="Arial"/>
          <w:sz w:val="17"/>
          <w:szCs w:val="17"/>
          <w:color w:val="auto"/>
        </w:rPr>
        <w:t>President, Chief Executive Officer and Director</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William F. Ballhaus, Jr.</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Kelli Bernard</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Gerald Chizever</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0034"/>
        </w:rPr>
        <w:t>James B. Hawkins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393" w:lineRule="exact"/>
        <w:rPr>
          <w:sz w:val="20"/>
          <w:szCs w:val="20"/>
          <w:color w:val="auto"/>
        </w:rPr>
      </w:pPr>
    </w:p>
    <w:p>
      <w:pPr>
        <w:ind w:left="40" w:right="740"/>
        <w:spacing w:after="0" w:line="314" w:lineRule="auto"/>
        <w:rPr>
          <w:sz w:val="20"/>
          <w:szCs w:val="20"/>
          <w:color w:val="auto"/>
        </w:rPr>
      </w:pPr>
      <w:r>
        <w:rPr>
          <w:rFonts w:ascii="Arial" w:cs="Arial" w:eastAsia="Arial" w:hAnsi="Arial"/>
          <w:sz w:val="19"/>
          <w:szCs w:val="19"/>
          <w:b w:val="1"/>
          <w:bCs w:val="1"/>
          <w:color w:val="3E89C0"/>
        </w:rPr>
        <w:t>INDEPENDENT AUDITORS</w:t>
      </w:r>
    </w:p>
    <w:p>
      <w:pPr>
        <w:spacing w:after="0" w:line="39" w:lineRule="exact"/>
        <w:rPr>
          <w:sz w:val="20"/>
          <w:szCs w:val="20"/>
          <w:color w:val="auto"/>
        </w:rPr>
      </w:pPr>
    </w:p>
    <w:p>
      <w:pPr>
        <w:ind w:left="40" w:right="360"/>
        <w:spacing w:after="0" w:line="322" w:lineRule="auto"/>
        <w:rPr>
          <w:sz w:val="20"/>
          <w:szCs w:val="20"/>
          <w:color w:val="auto"/>
        </w:rPr>
      </w:pPr>
      <w:r>
        <w:rPr>
          <w:rFonts w:ascii="Arial" w:cs="Arial" w:eastAsia="Arial" w:hAnsi="Arial"/>
          <w:sz w:val="17"/>
          <w:szCs w:val="17"/>
          <w:color w:val="auto"/>
        </w:rPr>
        <w:t>Grant Thornton LLP Los Angeles, California</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3E89C0"/>
        </w:rPr>
        <w:t>TRANSFER AGENT</w:t>
      </w:r>
    </w:p>
    <w:p>
      <w:pPr>
        <w:spacing w:after="0" w:line="141" w:lineRule="exact"/>
        <w:rPr>
          <w:sz w:val="20"/>
          <w:szCs w:val="20"/>
          <w:color w:val="auto"/>
        </w:rPr>
      </w:pPr>
    </w:p>
    <w:p>
      <w:pPr>
        <w:ind w:left="40" w:right="460"/>
        <w:spacing w:after="0" w:line="296" w:lineRule="auto"/>
        <w:rPr>
          <w:sz w:val="20"/>
          <w:szCs w:val="20"/>
          <w:color w:val="auto"/>
        </w:rPr>
      </w:pPr>
      <w:r>
        <w:rPr>
          <w:rFonts w:ascii="Arial" w:cs="Arial" w:eastAsia="Arial" w:hAnsi="Arial"/>
          <w:sz w:val="17"/>
          <w:szCs w:val="17"/>
          <w:color w:val="auto"/>
        </w:rPr>
        <w:t>Broadridge Corporate Issuer Solutions, Inc. Ardmore, 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3E89C0"/>
        </w:rPr>
        <w:t>EXECUTIVE OFFICERS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Ajay Mehra</w:t>
      </w:r>
    </w:p>
    <w:p>
      <w:pPr>
        <w:spacing w:after="0" w:line="53" w:lineRule="exact"/>
        <w:rPr>
          <w:sz w:val="20"/>
          <w:szCs w:val="20"/>
          <w:color w:val="auto"/>
        </w:rPr>
      </w:pPr>
    </w:p>
    <w:p>
      <w:pPr>
        <w:ind w:right="80"/>
        <w:spacing w:after="0" w:line="322" w:lineRule="auto"/>
        <w:rPr>
          <w:sz w:val="20"/>
          <w:szCs w:val="20"/>
          <w:color w:val="auto"/>
        </w:rPr>
      </w:pPr>
      <w:r>
        <w:rPr>
          <w:rFonts w:ascii="Arial" w:cs="Arial" w:eastAsia="Arial" w:hAnsi="Arial"/>
          <w:sz w:val="17"/>
          <w:szCs w:val="17"/>
          <w:color w:val="auto"/>
        </w:rPr>
        <w:t>President, Chief Executive Officer and Director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Alan Edrick</w:t>
      </w:r>
    </w:p>
    <w:p>
      <w:pPr>
        <w:spacing w:after="0" w:line="53" w:lineRule="exact"/>
        <w:rPr>
          <w:sz w:val="20"/>
          <w:szCs w:val="20"/>
          <w:color w:val="auto"/>
        </w:rPr>
      </w:pPr>
    </w:p>
    <w:p>
      <w:pPr>
        <w:ind w:right="40"/>
        <w:spacing w:after="0" w:line="322" w:lineRule="auto"/>
        <w:rPr>
          <w:sz w:val="20"/>
          <w:szCs w:val="20"/>
          <w:color w:val="auto"/>
        </w:rPr>
      </w:pPr>
      <w:r>
        <w:rPr>
          <w:rFonts w:ascii="Arial" w:cs="Arial" w:eastAsia="Arial" w:hAnsi="Arial"/>
          <w:sz w:val="17"/>
          <w:szCs w:val="17"/>
          <w:color w:val="auto"/>
        </w:rPr>
        <w:t>Executive Vice President and Chief Financial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Victor Sze</w:t>
      </w:r>
    </w:p>
    <w:p>
      <w:pPr>
        <w:spacing w:after="0" w:line="53" w:lineRule="exact"/>
        <w:rPr>
          <w:sz w:val="20"/>
          <w:szCs w:val="20"/>
          <w:color w:val="auto"/>
        </w:rPr>
      </w:pPr>
    </w:p>
    <w:p>
      <w:pPr>
        <w:ind w:right="180"/>
        <w:spacing w:after="0" w:line="322" w:lineRule="auto"/>
        <w:rPr>
          <w:sz w:val="20"/>
          <w:szCs w:val="20"/>
          <w:color w:val="auto"/>
        </w:rPr>
      </w:pPr>
      <w:r>
        <w:rPr>
          <w:rFonts w:ascii="Arial" w:cs="Arial" w:eastAsia="Arial" w:hAnsi="Arial"/>
          <w:sz w:val="17"/>
          <w:szCs w:val="17"/>
          <w:color w:val="auto"/>
        </w:rPr>
        <w:t>Executive Vice President and General Counsel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Michael Tropeano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President, Rapiscan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Paul Morben</w:t>
      </w:r>
    </w:p>
    <w:p>
      <w:pPr>
        <w:spacing w:after="0" w:line="53"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color w:val="auto"/>
        </w:rPr>
        <w:t>President, OSI Optoelectronics and Manufacturing Division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Wilson Constantine</w:t>
      </w:r>
    </w:p>
    <w:p>
      <w:pPr>
        <w:spacing w:after="0" w:line="53" w:lineRule="exact"/>
        <w:rPr>
          <w:sz w:val="20"/>
          <w:szCs w:val="20"/>
          <w:color w:val="auto"/>
        </w:rPr>
      </w:pPr>
    </w:p>
    <w:p>
      <w:pPr>
        <w:ind w:right="480"/>
        <w:spacing w:after="0" w:line="322" w:lineRule="auto"/>
        <w:rPr>
          <w:sz w:val="20"/>
          <w:szCs w:val="20"/>
          <w:color w:val="auto"/>
        </w:rPr>
      </w:pPr>
      <w:r>
        <w:rPr>
          <w:rFonts w:ascii="Arial" w:cs="Arial" w:eastAsia="Arial" w:hAnsi="Arial"/>
          <w:sz w:val="17"/>
          <w:szCs w:val="17"/>
          <w:color w:val="auto"/>
        </w:rPr>
        <w:t>President, Spacelabs Healthcare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0034"/>
        </w:rPr>
        <w:t>Glenn Grindstaff</w:t>
      </w:r>
    </w:p>
    <w:p>
      <w:pPr>
        <w:spacing w:after="0" w:line="5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Senior Vice President and Chief Human Resources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3E89C0"/>
        </w:rPr>
        <w:t>ANNUAL MEETING</w:t>
      </w:r>
    </w:p>
    <w:p>
      <w:pPr>
        <w:spacing w:after="0" w:line="141"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color w:val="auto"/>
        </w:rPr>
        <w:t>The Annual Meeting of Stockholders will be held at 10:00 a.m. Thursday, December 10, 2026 at</w:t>
      </w:r>
    </w:p>
    <w:p>
      <w:pPr>
        <w:spacing w:after="0"/>
        <w:rPr>
          <w:sz w:val="20"/>
          <w:szCs w:val="20"/>
          <w:color w:val="auto"/>
        </w:rPr>
      </w:pPr>
      <w:r>
        <w:rPr>
          <w:rFonts w:ascii="Arial" w:cs="Arial" w:eastAsia="Arial" w:hAnsi="Arial"/>
          <w:sz w:val="18"/>
          <w:szCs w:val="18"/>
          <w:color w:val="auto"/>
        </w:rPr>
        <w:t>12525 Chadron Avenue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Hawthorne, CA 90250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3E89C0"/>
        </w:rPr>
        <w:t>SAFE HARBOR STATEMENT</w:t>
      </w:r>
    </w:p>
    <w:p>
      <w:pPr>
        <w:spacing w:after="0" w:line="141" w:lineRule="exact"/>
        <w:rPr>
          <w:sz w:val="20"/>
          <w:szCs w:val="20"/>
          <w:color w:val="auto"/>
        </w:rPr>
      </w:pPr>
    </w:p>
    <w:p>
      <w:pPr>
        <w:ind w:right="100"/>
        <w:spacing w:after="0" w:line="319" w:lineRule="auto"/>
        <w:rPr>
          <w:sz w:val="20"/>
          <w:szCs w:val="20"/>
          <w:color w:val="auto"/>
        </w:rPr>
      </w:pPr>
      <w:r>
        <w:rPr>
          <w:rFonts w:ascii="Arial" w:cs="Arial" w:eastAsia="Arial" w:hAnsi="Arial"/>
          <w:sz w:val="17"/>
          <w:szCs w:val="17"/>
          <w:color w:val="auto"/>
        </w:rPr>
        <w:t>This Annual Report contains forward-looking statements within the meaning of the Private Securities Litigation Reform Act of 1995, Section 27A of the Securities Act of 1933, as amended, and Section 21E of the Securities Exchange</w:t>
      </w:r>
    </w:p>
    <w:p>
      <w:pPr>
        <w:ind w:right="40"/>
        <w:spacing w:after="0" w:line="319" w:lineRule="auto"/>
        <w:rPr>
          <w:sz w:val="20"/>
          <w:szCs w:val="20"/>
          <w:color w:val="auto"/>
        </w:rPr>
      </w:pPr>
      <w:r>
        <w:rPr>
          <w:rFonts w:ascii="Arial" w:cs="Arial" w:eastAsia="Arial" w:hAnsi="Arial"/>
          <w:sz w:val="17"/>
          <w:szCs w:val="17"/>
          <w:color w:val="auto"/>
        </w:rPr>
        <w:t>Act of 1934, as amended. Forward-looking statements relate to the Company’s current expectations, beliefs, and projections concerning matters that are not historical facts. Forward-looking statements are not guarantees of future performance and involve uncertainties, risks, assumptions, and contingencies, many of which are outside the Company’s control and which may cause actual results to differ materially from those described in or implied by any forward-looking statement. Undue reliance should not be placed on forward-looking statements, which are based on currently available information and speak only as of the date on which they</w:t>
      </w:r>
    </w:p>
    <w:p>
      <w:pPr>
        <w:spacing w:after="0" w:line="1" w:lineRule="exact"/>
        <w:rPr>
          <w:sz w:val="20"/>
          <w:szCs w:val="20"/>
          <w:color w:val="auto"/>
        </w:rPr>
      </w:pPr>
    </w:p>
    <w:p>
      <w:pPr>
        <w:spacing w:after="0" w:line="319" w:lineRule="auto"/>
        <w:rPr>
          <w:sz w:val="20"/>
          <w:szCs w:val="20"/>
          <w:color w:val="auto"/>
        </w:rPr>
      </w:pPr>
      <w:r>
        <w:rPr>
          <w:rFonts w:ascii="Arial" w:cs="Arial" w:eastAsia="Arial" w:hAnsi="Arial"/>
          <w:sz w:val="17"/>
          <w:szCs w:val="17"/>
          <w:color w:val="auto"/>
        </w:rPr>
        <w:t>are made. The Company assumes no obligation to update any forward-looking statement made in this Annual Report that becomes untrue because of subsequent events, new information, or otherwise, except to the extent it is required to do so in connection with its ongoing requirements under Federal securities laws. For a further discussion of factors that could cause the Company’s future results to differ materially from any forward-looking statements, see the section entitled “Risk Factors” in the Company’s Form 10-K for the year ended June 30, 2026 and other risks described therein and in documents subsequently filed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-1018540</wp:posOffset>
            </wp:positionV>
            <wp:extent cx="7543800" cy="4043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a:extLst>
                        <a:ext uri="{28A0092B-C50C-407E-A947-70E740481C1C}"/>
                      </a:extLst>
                    </a:blip>
                    <a:srcRect/>
                    <a:stretch>
                      <a:fillRect/>
                    </a:stretch>
                  </pic:blipFill>
                  <pic:spPr bwMode="auto">
                    <a:xfrm>
                      <a:off x="0" y="0"/>
                      <a:ext cx="7543800" cy="4043680"/>
                    </a:xfrm>
                    <a:prstGeom prst="rect">
                      <a:avLst/>
                    </a:prstGeom>
                    <a:noFill/>
                  </pic:spPr>
                </pic:pic>
              </a:graphicData>
            </a:graphic>
          </wp:anchor>
        </w:drawing>
      </w:r>
    </w:p>
    <w:p>
      <w:pPr>
        <w:ind w:right="1640"/>
        <w:spacing w:after="0" w:line="337" w:lineRule="auto"/>
        <w:rPr>
          <w:sz w:val="20"/>
          <w:szCs w:val="20"/>
          <w:color w:val="auto"/>
        </w:rPr>
      </w:pPr>
      <w:r>
        <w:rPr>
          <w:rFonts w:ascii="Arial" w:cs="Arial" w:eastAsia="Arial" w:hAnsi="Arial"/>
          <w:sz w:val="18"/>
          <w:szCs w:val="18"/>
          <w:color w:val="auto"/>
        </w:rPr>
        <w:t>from time to time with the Securities and Exchange Commission.</w:t>
      </w:r>
    </w:p>
    <w:p>
      <w:pPr>
        <w:sectPr>
          <w:pgSz w:w="11880" w:h="15480" w:orient="portrait"/>
          <w:cols w:equalWidth="0" w:num="3">
            <w:col w:w="2200" w:space="460"/>
            <w:col w:w="2120" w:space="480"/>
            <w:col w:w="4720"/>
          </w:cols>
          <w:pgMar w:left="900" w:top="811" w:right="1000" w:bottom="1440" w:gutter="0" w:footer="0" w:header="0"/>
          <w:type w:val="continuous"/>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2524760</wp:posOffset>
            </wp:positionH>
            <wp:positionV relativeFrom="page">
              <wp:posOffset>7417435</wp:posOffset>
            </wp:positionV>
            <wp:extent cx="2496185" cy="334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3">
                      <a:extLst>
                        <a:ext uri="{28A0092B-C50C-407E-A947-70E740481C1C}"/>
                      </a:extLst>
                    </a:blip>
                    <a:srcRect/>
                    <a:stretch>
                      <a:fillRect/>
                    </a:stretch>
                  </pic:blipFill>
                  <pic:spPr bwMode="auto">
                    <a:xfrm>
                      <a:off x="0" y="0"/>
                      <a:ext cx="249618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12525 Chadron Avenue | Hawthorne, California 90250</w:t>
      </w:r>
    </w:p>
    <w:p>
      <w:pPr>
        <w:sectPr>
          <w:pgSz w:w="11880" w:h="15480" w:orient="portrait"/>
          <w:cols w:equalWidth="0" w:num="1">
            <w:col w:w="9000"/>
          </w:cols>
          <w:pgMar w:left="1440" w:top="144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www.osi-systems.com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638810</wp:posOffset>
            </wp:positionV>
            <wp:extent cx="2169795" cy="529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a:extLst>
                        <a:ext uri="{28A0092B-C50C-407E-A947-70E740481C1C}"/>
                      </a:extLst>
                    </a:blip>
                    <a:srcRect/>
                    <a:stretch>
                      <a:fillRect/>
                    </a:stretch>
                  </pic:blipFill>
                  <pic:spPr bwMode="auto">
                    <a:xfrm>
                      <a:off x="0" y="0"/>
                      <a:ext cx="2169795" cy="529590"/>
                    </a:xfrm>
                    <a:prstGeom prst="rect">
                      <a:avLst/>
                    </a:prstGeom>
                    <a:noFill/>
                  </pic:spPr>
                </pic:pic>
              </a:graphicData>
            </a:graphic>
          </wp:anchor>
        </w:drawing>
      </w:r>
    </w:p>
    <w:sectPr>
      <w:pgSz w:w="11880" w:h="15480" w:orient="portrait"/>
      <w:cols w:equalWidth="0" w:num="1">
        <w:col w:w="900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6"/>
    </w:lvl>
  </w:abstractNum>
  <w:abstractNum w:abstractNumId="3">
    <w:nsid w:val="257130A3"/>
    <w:multiLevelType w:val="hybridMultilevel"/>
    <w:lvl w:ilvl="0">
      <w:lvlJc w:val="left"/>
      <w:lvlText w:val="%1"/>
      <w:numFmt w:val="decimal"/>
      <w:start w:val="8"/>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Roman"/>
      <w:start w:val="4"/>
    </w:lvl>
  </w:abstractNum>
  <w:abstractNum w:abstractNumId="8">
    <w:nsid w:val="721DA317"/>
    <w:multiLevelType w:val="hybridMultilevel"/>
    <w:lvl w:ilvl="0">
      <w:lvlJc w:val="left"/>
      <w:lvlText w:val="(%1)"/>
      <w:numFmt w:val="lowerRoman"/>
      <w:start w:val="2"/>
    </w:lvl>
    <w:lvl w:ilvl="1">
      <w:lvlJc w:val="left"/>
      <w:lvlText w:val="%2"/>
      <w:numFmt w:val="lowerRoman"/>
      <w:start w:val="1"/>
    </w:lvl>
  </w:abstractNum>
  <w:abstractNum w:abstractNumId="9">
    <w:nsid w:val="2443A858"/>
    <w:multiLevelType w:val="hybridMultilevel"/>
    <w:lvl w:ilvl="0">
      <w:lvlJc w:val="left"/>
      <w:lvlText w:val="(%1)"/>
      <w:numFmt w:val="lowerRoman"/>
      <w:start w:val="5"/>
    </w:lvl>
    <w:lvl w:ilvl="1">
      <w:lvlJc w:val="left"/>
      <w:lvlText w:val="%2"/>
      <w:numFmt w:val="lowerRoman"/>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lowerLetter"/>
      <w:start w:val="1"/>
    </w:lvl>
    <w:lvl w:ilvl="1">
      <w:lvlJc w:val="left"/>
      <w:lvlText w:val="%2."/>
      <w:numFmt w:val="decimal"/>
      <w:start w:val="1"/>
    </w:lvl>
  </w:abstractNum>
  <w:abstractNum w:abstractNumId="16">
    <w:nsid w:val="B03E0C6"/>
    <w:multiLevelType w:val="hybridMultilevel"/>
    <w:lvl w:ilvl="0">
      <w:lvlJc w:val="left"/>
      <w:lvlText w:val="(%1)"/>
      <w:numFmt w:val="lowerLetter"/>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2"/>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decimal"/>
      <w:start w:val="5"/>
    </w:lvl>
  </w:abstractNum>
  <w:abstractNum w:abstractNumId="22">
    <w:nsid w:val="2901D82"/>
    <w:multiLevelType w:val="hybridMultilevel"/>
    <w:lvl w:ilvl="0">
      <w:lvlJc w:val="left"/>
      <w:lvlText w:val="%1."/>
      <w:numFmt w:val="decimal"/>
      <w:start w:val="6"/>
    </w:lvl>
  </w:abstractNum>
  <w:abstractNum w:abstractNumId="23">
    <w:nsid w:val="3A95F874"/>
    <w:multiLevelType w:val="hybridMultilevel"/>
    <w:lvl w:ilvl="0">
      <w:lvlJc w:val="left"/>
      <w:lvlText w:val="%1."/>
      <w:numFmt w:val="decimal"/>
      <w:start w:val="7"/>
    </w:lvl>
  </w:abstractNum>
  <w:abstractNum w:abstractNumId="24">
    <w:nsid w:val="8138641"/>
    <w:multiLevelType w:val="hybridMultilevel"/>
    <w:lvl w:ilvl="0">
      <w:lvlJc w:val="left"/>
      <w:lvlText w:val="%1."/>
      <w:numFmt w:val="decimal"/>
      <w:start w:val="8"/>
    </w:lvl>
  </w:abstractNum>
  <w:abstractNum w:abstractNumId="25">
    <w:nsid w:val="1E7FF521"/>
    <w:multiLevelType w:val="hybridMultilevel"/>
    <w:lvl w:ilvl="0">
      <w:lvlJc w:val="left"/>
      <w:lvlText w:val="%1."/>
      <w:numFmt w:val="decimal"/>
      <w:start w:val="9"/>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1."/>
      <w:numFmt w:val="decimal"/>
      <w:start w:val="11"/>
    </w:lvl>
  </w:abstractNum>
  <w:abstractNum w:abstractNumId="28">
    <w:nsid w:val="6CEAF087"/>
    <w:multiLevelType w:val="hybridMultilevel"/>
    <w:lvl w:ilvl="0">
      <w:lvlJc w:val="left"/>
      <w:lvlText w:val="%1."/>
      <w:numFmt w:val="decimal"/>
      <w:start w:val="12"/>
    </w:lvl>
  </w:abstractNum>
  <w:abstractNum w:abstractNumId="29">
    <w:nsid w:val="22221A70"/>
    <w:multiLevelType w:val="hybridMultilevel"/>
    <w:lvl w:ilvl="0">
      <w:lvlJc w:val="left"/>
      <w:lvlText w:val="%1."/>
      <w:numFmt w:val="decimal"/>
      <w:start w:val="13"/>
    </w:lvl>
  </w:abstractNum>
  <w:abstractNum w:abstractNumId="30">
    <w:nsid w:val="4516DDE9"/>
    <w:multiLevelType w:val="hybridMultilevel"/>
    <w:lvl w:ilvl="0">
      <w:lvlJc w:val="left"/>
      <w:lvlText w:val="%1."/>
      <w:numFmt w:val="decimal"/>
      <w:start w:val="14"/>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2026-10-26T15:54:32Z</dcterms:created>
  <dcterms:modified xsi:type="dcterms:W3CDTF">2026-10-26T15:54:32Z</dcterms:modified>
</cp:coreProperties>
</file>